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/>
      </w:pPr>
      <w:r>
        <w:rPr>
          <w:rStyle w:val="Strong"/>
          <w:rFonts w:eastAsia="Calibri" w:cs="Times New Roman" w:ascii="Times New Roman" w:hAnsi="Times New Roman"/>
          <w:sz w:val="28"/>
          <w:szCs w:val="28"/>
        </w:rPr>
        <w:t xml:space="preserve">Управление образования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Администрации МО «Каменский муниципальный округ»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Муниципальное казённое образовательное учреждение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</w:rPr>
        <w:t>«Рыбниковская средняя общеобразовательная школа»</w:t>
      </w:r>
    </w:p>
    <w:p>
      <w:pPr>
        <w:pStyle w:val="Normal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71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4857"/>
        <w:gridCol w:w="4857"/>
      </w:tblGrid>
      <w:tr>
        <w:trPr/>
        <w:tc>
          <w:tcPr>
            <w:tcW w:w="485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Принята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 заседании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Педагогического совета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Протокол № 1 от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31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.08.202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485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Утверждено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Приказ №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68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- ОД от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31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.08.202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Style w:val="Strong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rPr>
          <w:rFonts w:ascii="Liberation Serif" w:hAnsi="Liberation Serif" w:eastAsia="Times New Roman" w:cs="Times New Roman"/>
          <w:i/>
          <w:iCs/>
          <w:sz w:val="28"/>
          <w:szCs w:val="28"/>
          <w:lang w:eastAsia="zh-CN"/>
        </w:rPr>
      </w:pPr>
      <w:r>
        <w:rPr>
          <w:rFonts w:eastAsia="Times New Roman" w:cs="Times New Roman" w:ascii="Liberation Serif" w:hAnsi="Liberation Serif"/>
          <w:i/>
          <w:iCs/>
          <w:sz w:val="28"/>
          <w:szCs w:val="28"/>
          <w:lang w:eastAsia="zh-CN"/>
        </w:rPr>
      </w:r>
    </w:p>
    <w:p>
      <w:pPr>
        <w:pStyle w:val="Normal"/>
        <w:spacing w:lineRule="auto" w:line="276" w:before="0" w:after="0"/>
        <w:rPr>
          <w:rFonts w:ascii="Liberation Serif" w:hAnsi="Liberation Serif" w:eastAsia="Times New Roman" w:cs="Times New Roman"/>
          <w:i/>
          <w:iCs/>
          <w:sz w:val="28"/>
          <w:szCs w:val="28"/>
          <w:lang w:eastAsia="zh-CN"/>
        </w:rPr>
      </w:pPr>
      <w:r>
        <w:rPr>
          <w:rFonts w:eastAsia="Times New Roman" w:cs="Times New Roman" w:ascii="Liberation Serif" w:hAnsi="Liberation Serif"/>
          <w:i/>
          <w:iCs/>
          <w:sz w:val="28"/>
          <w:szCs w:val="28"/>
          <w:lang w:eastAsia="zh-CN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ДОПОЛНИТЕЛЬНАЯ ОБЩЕОБРАЗОВАТЕЛЬНАЯ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ОБЩЕРАЗВИВАЮЩАЯ ПРОГРАММА</w:t>
      </w:r>
    </w:p>
    <w:p>
      <w:pPr>
        <w:pStyle w:val="Normal"/>
        <w:tabs>
          <w:tab w:val="clear" w:pos="708"/>
          <w:tab w:val="left" w:pos="2093" w:leader="none"/>
        </w:tabs>
        <w:spacing w:lineRule="auto" w:line="36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Волонтёрский отряд «Рука в руке»</w:t>
      </w:r>
    </w:p>
    <w:p>
      <w:pPr>
        <w:pStyle w:val="Normal"/>
        <w:spacing w:lineRule="auto" w:line="276" w:before="0" w:after="0"/>
        <w:jc w:val="center"/>
        <w:rPr>
          <w:rFonts w:ascii="Liberation Serif" w:hAnsi="Liberation Serif" w:eastAsia="Times New Roman" w:cs="Liberation Serif"/>
          <w:bCs/>
          <w:i/>
          <w:sz w:val="28"/>
          <w:szCs w:val="28"/>
          <w:lang w:eastAsia="zh-CN"/>
        </w:rPr>
      </w:pPr>
      <w:r>
        <w:rPr>
          <w:rFonts w:eastAsia="Times New Roman" w:cs="Liberation Serif" w:ascii="Liberation Serif" w:hAnsi="Liberation Serif"/>
          <w:bCs/>
          <w:i/>
          <w:sz w:val="28"/>
          <w:szCs w:val="28"/>
          <w:lang w:eastAsia="zh-CN"/>
        </w:rPr>
        <w:t>Программа составлена на основе методических материалов всероссийского проекта Движения Первых «БлагоТвори» и методических рекомендаций Ассоциации волонтерских центров</w:t>
      </w:r>
    </w:p>
    <w:p>
      <w:pPr>
        <w:pStyle w:val="Normal"/>
        <w:tabs>
          <w:tab w:val="clear" w:pos="708"/>
          <w:tab w:val="left" w:pos="2093" w:leader="none"/>
        </w:tabs>
        <w:spacing w:lineRule="auto" w:line="36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093" w:leader="none"/>
        </w:tabs>
        <w:spacing w:lineRule="auto" w:line="36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Социально-гуманитарной направленности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реализации программы 1 год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Возраст обучающихся 10 -16 лет</w:t>
      </w:r>
    </w:p>
    <w:p>
      <w:pPr>
        <w:pStyle w:val="Normal"/>
        <w:tabs>
          <w:tab w:val="clear" w:pos="708"/>
          <w:tab w:val="left" w:pos="5580" w:leader="none"/>
        </w:tabs>
        <w:spacing w:lineRule="auto" w:line="276" w:before="0" w:after="0"/>
        <w:rPr>
          <w:rFonts w:ascii="Liberation Serif" w:hAnsi="Liberation Serif" w:eastAsia="Times New Roman" w:cs="Times New Roman"/>
          <w:i/>
          <w:iCs/>
          <w:sz w:val="28"/>
          <w:szCs w:val="28"/>
          <w:lang w:eastAsia="zh-CN"/>
        </w:rPr>
      </w:pPr>
      <w:r>
        <w:rPr>
          <w:rFonts w:eastAsia="Times New Roman" w:cs="Times New Roman" w:ascii="Liberation Serif" w:hAnsi="Liberation Serif"/>
          <w:i/>
          <w:iCs/>
          <w:sz w:val="28"/>
          <w:szCs w:val="28"/>
          <w:lang w:eastAsia="zh-CN"/>
        </w:rPr>
        <w:tab/>
      </w:r>
    </w:p>
    <w:p>
      <w:pPr>
        <w:pStyle w:val="Normal"/>
        <w:spacing w:lineRule="auto" w:line="360" w:before="0" w:after="0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Разработчик: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Першина Татьяна Викторовна,</w:t>
      </w:r>
    </w:p>
    <w:p>
      <w:pPr>
        <w:pStyle w:val="Normal"/>
        <w:spacing w:lineRule="auto" w:line="3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 дополнительного образования</w:t>
      </w:r>
    </w:p>
    <w:p>
      <w:pPr>
        <w:pStyle w:val="Normal"/>
        <w:spacing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Рыбниковское, </w:t>
      </w:r>
    </w:p>
    <w:p>
      <w:pPr>
        <w:pStyle w:val="Normal"/>
        <w:spacing w:before="0" w:after="0"/>
        <w:jc w:val="center"/>
        <w:rPr/>
      </w:pPr>
      <w:r>
        <w:rPr>
          <w:rStyle w:val="Strong"/>
          <w:rFonts w:ascii="Times New Roman" w:hAnsi="Times New Roman"/>
          <w:b w:val="false"/>
          <w:sz w:val="28"/>
          <w:szCs w:val="28"/>
        </w:rPr>
        <w:t>202</w:t>
      </w:r>
      <w:r>
        <w:rPr>
          <w:rStyle w:val="Strong"/>
          <w:rFonts w:ascii="Times New Roman" w:hAnsi="Times New Roman"/>
          <w:b w:val="false"/>
          <w:sz w:val="28"/>
          <w:szCs w:val="28"/>
        </w:rPr>
        <w:t>6</w:t>
      </w:r>
      <w:r>
        <w:rPr>
          <w:rStyle w:val="Strong"/>
          <w:rFonts w:ascii="Times New Roman" w:hAnsi="Times New Roman"/>
          <w:b w:val="false"/>
          <w:sz w:val="28"/>
          <w:szCs w:val="28"/>
        </w:rPr>
        <w:t xml:space="preserve"> год</w:t>
      </w:r>
    </w:p>
    <w:p>
      <w:pPr>
        <w:pStyle w:val="Normal"/>
        <w:tabs>
          <w:tab w:val="clear" w:pos="708"/>
          <w:tab w:val="left" w:pos="5580" w:leader="none"/>
        </w:tabs>
        <w:spacing w:lineRule="auto" w:line="276" w:before="0" w:after="0"/>
        <w:rPr>
          <w:rFonts w:ascii="Liberation Serif" w:hAnsi="Liberation Serif" w:eastAsia="Times New Roman" w:cs="Times New Roman"/>
          <w:i/>
          <w:iCs/>
          <w:sz w:val="28"/>
          <w:szCs w:val="28"/>
          <w:lang w:eastAsia="zh-CN"/>
        </w:rPr>
      </w:pPr>
      <w:r>
        <w:rPr>
          <w:rFonts w:eastAsia="Times New Roman" w:cs="Times New Roman" w:ascii="Liberation Serif" w:hAnsi="Liberation Serif"/>
          <w:i/>
          <w:iCs/>
          <w:sz w:val="28"/>
          <w:szCs w:val="28"/>
          <w:lang w:eastAsia="zh-CN"/>
        </w:rPr>
      </w:r>
    </w:p>
    <w:p>
      <w:pPr>
        <w:pStyle w:val="Normal"/>
        <w:spacing w:lineRule="auto" w:line="276" w:before="0" w:after="0"/>
        <w:jc w:val="center"/>
        <w:rPr>
          <w:rFonts w:ascii="Liberation Serif" w:hAnsi="Liberation Serif" w:eastAsia="Times New Roman" w:cs="Liberation Serif"/>
          <w:sz w:val="28"/>
          <w:szCs w:val="28"/>
          <w:lang w:eastAsia="zh-CN"/>
        </w:rPr>
      </w:pPr>
      <w:r>
        <w:rPr>
          <w:rFonts w:eastAsia="Times New Roman" w:cs="Liberation Serif" w:ascii="Liberation Serif" w:hAnsi="Liberation Serif"/>
          <w:sz w:val="28"/>
          <w:szCs w:val="28"/>
          <w:lang w:eastAsia="zh-CN"/>
        </w:rPr>
      </w:r>
    </w:p>
    <w:p>
      <w:pPr>
        <w:pStyle w:val="Normal"/>
        <w:spacing w:lineRule="auto" w:line="276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>1. ПОЯСНИТЕЛЬНАЯ ЗАПИСКА</w:t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Сегодня одной из наиболее значимых задач Российской Федерации становится патриотическое воспитание граждан, создание условий для повышения их гражданского самосознания. При этом особое внимание уделяется становлению гражданственности у детей и молодежи.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В </w:t>
      </w: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Стратегии развития воспитания в Российской Федерации на период до 2025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года в приоритет возводится воспитание у детей активной гражданской позиции, гражданской ответственности, развитие в детской среде принципов коллективизма и солидарности, духа милосердия и сострадания, привычки заботиться о детях и взрослых, испытывающих жизненные трудности. Гражданская позиция молодого человека как активного и ответственного члена российского общества закреплена, в том числе, федеральным государственным образовательным стандартом среднего общего образования и отражена в личностных результатах освоения основной образовательной программы.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Одним из эффективных инструментов гражданско-патриотического воспитания населения является волонтерство. Участие в добровольческих и благотворительных практиках, а также реализация собственных волонтерских проектов служит результативным способом развития общественных инициатив и гражданственности. Добровольчество и благотворительность выступают институтами воспитания общественной и гражданской активности населения, способами повышения социальной ответственности граждан, развития личности, при этом оставаясь методами оказания адресной помощи различным социальным группам.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На современном этапе развитие добровольчества и благотворительности среди детей приобрело системный характер. Это связано как с растущим желанием детей участвовать в волонтерских и благотворительных мероприятиях, так и с реализацией последовательной государственной политики. Развитие добровольчества и благотворительности в обществе, в школе, среди детей начинается с ознакомления с соответствующими понятиями, продолжается осознанием, принятием и разделением ценностей волонтерства и благотворительности и ведет к пробе благотворительной и добровольческой деятельности, повторению актов благотворительности и добровольчества, постепенно принимающих комплексный характер, а в дальнейшем – к институционализации волонтерской и благотворительной инициативы в формате постоянно действующей группы соратников и единомышленников в виде школьного волонтерского отряда, городской добровольческой организации, актива благотворительного фонда.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Организация добровольческих и благотворительных активностей дает новые форматы реализации детской инициативы, открывает возможности использования ценностей добровольчества и благотворительности в воспитательной работе, а также достижения синергетического эффекта от активности обучающихся. Вместе все это помогает «делать прививку от равнодушия» молодежи, создавать атмосферу доверия в обществе, решать социальные проблемы более эффективно, с юности формируя у граждан культуру социальной активности.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Школьные добровольческие отряды организуются в том числе в рамках исполнения целей и задач федерального проекта «Мы вместе» национального проекта «Молодежь и дети».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К реализации программ обучения участников школьных добровольческих отрядов рекомендуется вовлекать местное отделение Общероссийского общественно-государственного движения детей и молодежи «Движение первых», которое обеспечивает интеграцию школьных объединений в систему проектов Движения Первых по направлению «Волонтерство и добровольчество», осуществляет подбор методических материалов, профориентационных мероприятий и Классных встреч с представителями сферы добровольчества. 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К реализации программ рекомендуется вовлекать органы местного самоуправления, осуществляющих свои полномочия в области молодежной политики, воспитания, волонтерской деятельности, некоммерческие, общественные организации, сообщества местных жителей.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Программы школьных добровольческих отрядов имеют проектный и сетевой форматы.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В программе предусмотрены индивидуальный, командный и семейный формат участия. Освоение программы не ограничивается только учебными занятиями в аудиториях образовательной организации. В содержании программы заложен дуальный принцип освоения дисциплины и большой объем самостоятельной практики обучающихся.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zh-CN"/>
        </w:rPr>
        <w:t>Направленность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Данная программа имеет </w:t>
      </w: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lang w:eastAsia="zh-CN"/>
        </w:rPr>
        <w:t xml:space="preserve">социально-гуманитарную направленность и ориентирована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на:</w:t>
      </w:r>
    </w:p>
    <w:p>
      <w:pPr>
        <w:pStyle w:val="Normal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осмысление понятий «добровольчество» и «благотворительность», их сходств и различий, значимости этих явлений для развития общества и установления общего благосостояния; </w:t>
      </w:r>
    </w:p>
    <w:p>
      <w:pPr>
        <w:pStyle w:val="Normal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более глубокое знакомство школьников с конкретными механизмами включения в добровольческую и благотворительную деятельность, а также приобщения к волонтерскому сообществу своего населенного пункта и страны в целом;</w:t>
      </w:r>
    </w:p>
    <w:p>
      <w:pPr>
        <w:pStyle w:val="Normal"/>
        <w:shd w:val="clear" w:color="auto" w:fill="FFFFFF"/>
        <w:spacing w:lineRule="auto" w:line="276" w:before="0" w:after="0"/>
        <w:ind w:left="709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181818"/>
          <w:sz w:val="24"/>
          <w:szCs w:val="24"/>
          <w:lang w:eastAsia="ru-RU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zh-CN"/>
        </w:rPr>
        <w:t>Актуальность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Актуальность дополнительной общеобразовательной общеразвивающей программы определяется приоритетами государственной политики в области воспитания, закрепленными в следующих документах:</w:t>
      </w:r>
    </w:p>
    <w:p>
      <w:pPr>
        <w:pStyle w:val="Normal"/>
        <w:numPr>
          <w:ilvl w:val="0"/>
          <w:numId w:val="3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Национальном проекте «Молодежь и дети»;</w:t>
      </w:r>
    </w:p>
    <w:p>
      <w:pPr>
        <w:pStyle w:val="Normal"/>
        <w:numPr>
          <w:ilvl w:val="0"/>
          <w:numId w:val="3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Концепции развития дополнительного образования до 2030 года;</w:t>
      </w:r>
    </w:p>
    <w:p>
      <w:pPr>
        <w:pStyle w:val="Normal"/>
        <w:numPr>
          <w:ilvl w:val="0"/>
          <w:numId w:val="3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Стратегией развития образования до 2036 года с перспективой до 2040 года;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Актуальность создания школьных добровольческих отрядов отвечает:</w:t>
      </w:r>
    </w:p>
    <w:p>
      <w:pPr>
        <w:pStyle w:val="Normal"/>
        <w:numPr>
          <w:ilvl w:val="0"/>
          <w:numId w:val="2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региональным социально-экономическим и социокультурным задачам, закрепленным в региональных стратегических документах;</w:t>
      </w:r>
    </w:p>
    <w:p>
      <w:pPr>
        <w:pStyle w:val="Normal"/>
        <w:numPr>
          <w:ilvl w:val="0"/>
          <w:numId w:val="2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локальным задачам развития, закрепленных в локальных документах развития;</w:t>
      </w:r>
    </w:p>
    <w:p>
      <w:pPr>
        <w:pStyle w:val="Normal"/>
        <w:numPr>
          <w:ilvl w:val="0"/>
          <w:numId w:val="2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индивидуальным задачам развития и профориентации детей;</w:t>
      </w:r>
    </w:p>
    <w:p>
      <w:pPr>
        <w:pStyle w:val="Normal"/>
        <w:numPr>
          <w:ilvl w:val="0"/>
          <w:numId w:val="2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потребностям родителей в условиях для развития талантов и способностей детей и их занятости. </w:t>
      </w:r>
    </w:p>
    <w:p>
      <w:pPr>
        <w:pStyle w:val="Normal"/>
        <w:tabs>
          <w:tab w:val="clear" w:pos="708"/>
          <w:tab w:val="left" w:pos="2093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Дополнительная общеобразовательная общеразвивающая программа «Волонтёрский отряд «Рука в руке» соотносится с тенденциями развития дополнительного образования и согласно Концепции развития дополнительного образования способствует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zh-CN"/>
        </w:rPr>
        <w:t xml:space="preserve">: </w:t>
      </w:r>
    </w:p>
    <w:p>
      <w:pPr>
        <w:pStyle w:val="Normal"/>
        <w:numPr>
          <w:ilvl w:val="0"/>
          <w:numId w:val="4"/>
        </w:numPr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личностному развитию обучающихся, их позитивной социализации и личностному самоопределению; </w:t>
      </w:r>
    </w:p>
    <w:p>
      <w:pPr>
        <w:pStyle w:val="Normal"/>
        <w:numPr>
          <w:ilvl w:val="0"/>
          <w:numId w:val="4"/>
        </w:numPr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удовлетворению индивидуальных потребностей, обучающихся в занятиях добровольческой деятельностью; </w:t>
      </w:r>
    </w:p>
    <w:p>
      <w:pPr>
        <w:pStyle w:val="Normal"/>
        <w:numPr>
          <w:ilvl w:val="0"/>
          <w:numId w:val="4"/>
        </w:numPr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формированию и развитию творческих способностей обучающихся, мировоззрения на основе традиционных духовно-нравственных ценностей.</w:t>
      </w:r>
    </w:p>
    <w:p>
      <w:pPr>
        <w:pStyle w:val="Normal"/>
        <w:ind w:first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Миссией добровольческого отряда школы является создание среды для духовно- нравственного и гражданско-патриотического воспитания и самовоспитания детей и подростков, формирование у подрастающего поколения принятия добровольчества и благотворительности как социальной и моральной нормы жизни обычного россиянина.</w:t>
      </w:r>
    </w:p>
    <w:p>
      <w:pPr>
        <w:pStyle w:val="Normal"/>
        <w:ind w:first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В муниципальном образовании «Каменский муниципальный округ» консолидирующими темами для организации работы по воспитанию являются темы, связанные с моделированием будущего малой родины, что предполагает изучение ее прошлого, информированность о ее настоящем, знание текущих проблем, потенциала развития и достижений, принятие на себя ответственности за её будущее. При разработке содержания программы, в особенности ее практической части, авторы использовали описанную консолидирующую идею как основу.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Программа «Волонтёрский отряд «Рука в руке» разработана согласно требованиям следующих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zh-CN"/>
        </w:rPr>
        <w:t>нормативных документов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: </w:t>
      </w:r>
    </w:p>
    <w:p>
      <w:pPr>
        <w:pStyle w:val="Normal"/>
        <w:numPr>
          <w:ilvl w:val="0"/>
          <w:numId w:val="5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Федерального закона «Об образовании в Российской Федерации» от 29.12.2012 г. №273-ФЗ; </w:t>
      </w:r>
    </w:p>
    <w:p>
      <w:pPr>
        <w:pStyle w:val="Normal"/>
        <w:numPr>
          <w:ilvl w:val="0"/>
          <w:numId w:val="5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Федерального закона РФ от 24.07.1998 г. №124-ФЗ «Об основных гарантиях прав ребенка в Российской Федерации»; </w:t>
      </w:r>
    </w:p>
    <w:p>
      <w:pPr>
        <w:pStyle w:val="Normal"/>
        <w:numPr>
          <w:ilvl w:val="0"/>
          <w:numId w:val="5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Концепции развития дополнительного образования детей до 2030 года, утвержденной распоряжением Правительства РФ от 31.03.2022 г. №678-р; </w:t>
      </w:r>
    </w:p>
    <w:p>
      <w:pPr>
        <w:pStyle w:val="Normal"/>
        <w:numPr>
          <w:ilvl w:val="0"/>
          <w:numId w:val="5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Постановления Главного государственного санитарного врача РФ от 28.09.2020 г. №28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 </w:t>
      </w:r>
    </w:p>
    <w:p>
      <w:pPr>
        <w:pStyle w:val="Normal"/>
        <w:numPr>
          <w:ilvl w:val="0"/>
          <w:numId w:val="5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Приказа Министерства просвещения Российской Федерации от 27.07.2022 г. №629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>
      <w:pPr>
        <w:pStyle w:val="Normal"/>
        <w:numPr>
          <w:ilvl w:val="0"/>
          <w:numId w:val="5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Приказа Министерства общего и профессионального образования Свердловской области от 30.03.2018 г. №162-Д «Об утверждении Концепции развития образования на территории Свердловской области на период до 2035 года»; </w:t>
      </w:r>
    </w:p>
    <w:p>
      <w:pPr>
        <w:pStyle w:val="Normal"/>
        <w:numPr>
          <w:ilvl w:val="0"/>
          <w:numId w:val="5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Федерального закона от 11 августа 1995 г. №135-ФЗ«О благотворительной деятельности и добровольчестве (волонтерстве)».</w:t>
      </w:r>
    </w:p>
    <w:p>
      <w:pPr>
        <w:pStyle w:val="Normal"/>
        <w:numPr>
          <w:ilvl w:val="0"/>
          <w:numId w:val="5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Концепции развития добровольчества (волонтерства) в Российской Федерации до 2025 года (утверждена распоряжением Правительства Российской Федерации от 27 декабря 2018 г. № 2950-р).</w:t>
      </w:r>
    </w:p>
    <w:p>
      <w:pPr>
        <w:pStyle w:val="Normal"/>
        <w:numPr>
          <w:ilvl w:val="0"/>
          <w:numId w:val="5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Стратегия развития воспитания в Российской Федерации на период до 2025 года (утверждена распоряжением Правительства Российской Федерации от 29 мая 2015 г. № 996-р).</w:t>
      </w:r>
    </w:p>
    <w:p>
      <w:pPr>
        <w:pStyle w:val="Normal"/>
        <w:numPr>
          <w:ilvl w:val="0"/>
          <w:numId w:val="5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Устава и локальных актов образовательной организации.</w:t>
      </w:r>
    </w:p>
    <w:p>
      <w:pPr>
        <w:pStyle w:val="Normal"/>
        <w:spacing w:lineRule="auto" w:line="276" w:before="0" w:after="0"/>
        <w:ind w:left="72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cs="Times New Roman" w:ascii="Times New Roman" w:hAnsi="Times New Roman"/>
          <w:b/>
          <w:spacing w:val="-6"/>
          <w:sz w:val="24"/>
          <w:szCs w:val="24"/>
        </w:rPr>
        <w:t>Адресат общеразвивающей программы</w:t>
      </w:r>
      <w:r>
        <w:rPr>
          <w:rFonts w:cs="Times New Roman" w:ascii="Times New Roman" w:hAnsi="Times New Roman"/>
          <w:spacing w:val="-6"/>
          <w:sz w:val="24"/>
          <w:szCs w:val="24"/>
        </w:rPr>
        <w:t xml:space="preserve">: 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cs="Times New Roman" w:ascii="Times New Roman" w:hAnsi="Times New Roman"/>
          <w:spacing w:val="-6"/>
          <w:sz w:val="24"/>
          <w:szCs w:val="24"/>
        </w:rPr>
        <w:t xml:space="preserve">обучающиеся общеобразовательной школы 10-16 лет (5 – 9классы). 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>
        <w:rPr>
          <w:rFonts w:cs="Times New Roman" w:ascii="Times New Roman" w:hAnsi="Times New Roman"/>
          <w:b/>
          <w:bCs/>
          <w:spacing w:val="-6"/>
          <w:sz w:val="24"/>
          <w:szCs w:val="24"/>
        </w:rPr>
        <w:t>Число детей, находящихся в группе: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cs="Times New Roman" w:ascii="Times New Roman" w:hAnsi="Times New Roman"/>
          <w:spacing w:val="-6"/>
          <w:sz w:val="24"/>
          <w:szCs w:val="24"/>
        </w:rPr>
        <w:t>10 – 1</w:t>
      </w:r>
      <w:r>
        <w:rPr>
          <w:rFonts w:cs="Times New Roman" w:ascii="Times New Roman" w:hAnsi="Times New Roman"/>
          <w:spacing w:val="-6"/>
          <w:sz w:val="24"/>
          <w:szCs w:val="24"/>
        </w:rPr>
        <w:t>2</w:t>
      </w:r>
      <w:r>
        <w:rPr>
          <w:rFonts w:cs="Times New Roman" w:ascii="Times New Roman" w:hAnsi="Times New Roman"/>
          <w:spacing w:val="-6"/>
          <w:sz w:val="24"/>
          <w:szCs w:val="24"/>
        </w:rPr>
        <w:t xml:space="preserve"> человек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cs="Times New Roman" w:ascii="Times New Roman" w:hAnsi="Times New Roman"/>
          <w:b/>
          <w:spacing w:val="-6"/>
          <w:sz w:val="24"/>
          <w:szCs w:val="24"/>
        </w:rPr>
        <w:t>Режим занятий</w:t>
      </w:r>
      <w:r>
        <w:rPr>
          <w:rFonts w:cs="Times New Roman" w:ascii="Times New Roman" w:hAnsi="Times New Roman"/>
          <w:spacing w:val="-6"/>
          <w:sz w:val="24"/>
          <w:szCs w:val="24"/>
        </w:rPr>
        <w:t xml:space="preserve">: 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cs="Times New Roman" w:ascii="Times New Roman" w:hAnsi="Times New Roman"/>
          <w:spacing w:val="-6"/>
          <w:sz w:val="24"/>
          <w:szCs w:val="24"/>
        </w:rPr>
        <w:t xml:space="preserve">периодичность занятий 1 раз по 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2 часа в неделю, продолжительностью – 45 мин. 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cs="Times New Roman" w:ascii="Times New Roman" w:hAnsi="Times New Roman"/>
          <w:b/>
          <w:spacing w:val="-6"/>
          <w:sz w:val="24"/>
          <w:szCs w:val="24"/>
        </w:rPr>
        <w:t xml:space="preserve">Объем программы: </w:t>
      </w:r>
      <w:r>
        <w:rPr>
          <w:rFonts w:cs="Times New Roman" w:ascii="Times New Roman" w:hAnsi="Times New Roman"/>
          <w:spacing w:val="-6"/>
          <w:sz w:val="24"/>
          <w:szCs w:val="24"/>
        </w:rPr>
        <w:t>Общее количество часов в год</w:t>
      </w:r>
      <w:r>
        <w:rPr>
          <w:rFonts w:cs="Times New Roman" w:ascii="Times New Roman" w:hAnsi="Times New Roman"/>
          <w:b/>
          <w:spacing w:val="-6"/>
          <w:sz w:val="24"/>
          <w:szCs w:val="24"/>
        </w:rPr>
        <w:t xml:space="preserve"> - </w:t>
      </w:r>
      <w:r>
        <w:rPr>
          <w:rFonts w:cs="Times New Roman" w:ascii="Times New Roman" w:hAnsi="Times New Roman"/>
          <w:spacing w:val="-6"/>
          <w:sz w:val="24"/>
          <w:szCs w:val="24"/>
        </w:rPr>
        <w:t>68 часов.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cs="Times New Roman" w:ascii="Times New Roman" w:hAnsi="Times New Roman"/>
          <w:b/>
          <w:spacing w:val="-4"/>
          <w:sz w:val="24"/>
          <w:szCs w:val="24"/>
        </w:rPr>
        <w:t>Срок освоение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– 1 год (34 недели).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cs="Times New Roman" w:ascii="Times New Roman" w:hAnsi="Times New Roman"/>
          <w:b/>
          <w:spacing w:val="-4"/>
          <w:sz w:val="24"/>
          <w:szCs w:val="24"/>
        </w:rPr>
        <w:t>Уровень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общеразвивающей программы – базовый.</w:t>
      </w:r>
    </w:p>
    <w:p>
      <w:pPr>
        <w:pStyle w:val="Normal"/>
        <w:spacing w:lineRule="auto" w:line="276" w:before="0" w:after="0"/>
        <w:ind w:firstLine="709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рекомендуется участникам и наставникам школьных отрядов добровольцев зарегистрироваться\быть зарегистрированным на сайте будьвдвижении.рф для беспрепятственного доступа к образовательным и конкурсным ресурсам Движения Первых;</w:t>
      </w:r>
    </w:p>
    <w:p>
      <w:pPr>
        <w:pStyle w:val="Normal"/>
        <w:spacing w:lineRule="auto" w:line="276" w:before="0" w:after="0"/>
        <w:ind w:left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iCs/>
          <w:color w:val="000000"/>
          <w:sz w:val="24"/>
          <w:szCs w:val="24"/>
          <w:lang w:eastAsia="zh-CN"/>
        </w:rPr>
        <w:t>Режим занятий и объем дополнительной общеобразовательной общеразвивающей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bookmarkStart w:id="0" w:name="_Hlk50817939"/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Режим организации занятий дополнительной общеобразовательной общеразвивающей программы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zh-CN"/>
        </w:rPr>
        <w:t>«Волонтёрский отряд «Рука в руке»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 определяется календарным учебном графиком и соответствует нормам, утвержденным </w:t>
      </w:r>
      <w:bookmarkEnd w:id="0"/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Постановлением Главного государственного санитарного врача РФ от 28.09.2020 г. №28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>
      <w:pPr>
        <w:pStyle w:val="Normal"/>
        <w:spacing w:lineRule="auto" w:line="276" w:before="0" w:after="0"/>
        <w:ind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zh-CN"/>
        </w:rPr>
        <w:t xml:space="preserve">Занятия проводятся индивидуально, в группах, в коллективе обучающихся, очно, заочно, удаленно. </w:t>
      </w:r>
    </w:p>
    <w:p>
      <w:pPr>
        <w:pStyle w:val="Normal"/>
        <w:shd w:val="clear" w:color="auto" w:fill="FFFFFF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zh-CN"/>
        </w:rPr>
      </w:r>
    </w:p>
    <w:p>
      <w:pPr>
        <w:pStyle w:val="Normal"/>
        <w:shd w:val="clear" w:color="auto" w:fill="FFFFFF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zh-CN"/>
        </w:rPr>
        <w:t>Особенности организации образовательного процесса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Дополнительная общеобразовательная общеразвивающая программа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zh-CN"/>
        </w:rPr>
        <w:t>«Волонтёрский отряд «Рука в руке»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реализуется в форме проектной сетевой модели, в которой модульное освоение материала совмещается с активной практикой применения полученных знаний, разработкой командой обучающихся волонтерских проектов и акций, конкурсной деятельности и взаимодействия с социальными партнерами. Каждый модуль является самостоятельной единицей программы и не зависит от результатов освоения других модулей. Обучающийся может осваивать несколько модулей параллельно, либо остановиться на одном \ двух модулей и осваивать материал более глубоко.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Содержание программы вариативно, особенно в ее практической части, и включает в себя многообразие творческих предложений. Вариативность обеспечивает детям свободу выбора активностей, выбор тех форматов, которые позволяют ребенку наиболее полно раскрыть и развить свои способности. Вариативность реализуется, в том числе и в предложении выбора индивидуальной\групповой\семейной формы обучения и практики или их сочетания. Обучающийся может осваивать материал в составе группы, а реализовывать волонтерские инициативы самостоятельно или с помощью представителей своей семьи.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zh-CN"/>
        </w:rPr>
        <w:t>Данная программа допускает творческий, импровизационный подход со стороны детей и педагога в части возможной замены порядка раздела, количества часов, введения дополнительного материала, методики проведения занятий.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shd w:fill="FFFFFF" w:val="clear"/>
          <w:lang w:eastAsia="zh-CN"/>
        </w:rPr>
        <w:t>Методы и этапы организации занятий проектного характера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zh-CN"/>
        </w:rPr>
        <w:t xml:space="preserve">.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zh-CN"/>
        </w:rPr>
        <w:t>Методы:</w:t>
      </w:r>
    </w:p>
    <w:p>
      <w:pPr>
        <w:pStyle w:val="Normal"/>
        <w:numPr>
          <w:ilvl w:val="0"/>
          <w:numId w:val="6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zh-CN"/>
        </w:rPr>
        <w:t>исследовательские;</w:t>
      </w:r>
    </w:p>
    <w:p>
      <w:pPr>
        <w:pStyle w:val="Normal"/>
        <w:numPr>
          <w:ilvl w:val="0"/>
          <w:numId w:val="6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zh-CN"/>
        </w:rPr>
        <w:t>проблемные;</w:t>
      </w:r>
    </w:p>
    <w:p>
      <w:pPr>
        <w:pStyle w:val="Normal"/>
        <w:numPr>
          <w:ilvl w:val="0"/>
          <w:numId w:val="6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zh-CN"/>
        </w:rPr>
        <w:t>творческие;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zh-CN"/>
        </w:rPr>
        <w:t xml:space="preserve">Этапы: </w:t>
      </w:r>
    </w:p>
    <w:p>
      <w:pPr>
        <w:pStyle w:val="Normal"/>
        <w:numPr>
          <w:ilvl w:val="0"/>
          <w:numId w:val="7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zh-CN"/>
        </w:rPr>
        <w:t>подготовка к проекту, проблематизация, выбор способов решения проблемы;</w:t>
      </w:r>
    </w:p>
    <w:p>
      <w:pPr>
        <w:pStyle w:val="Normal"/>
        <w:numPr>
          <w:ilvl w:val="0"/>
          <w:numId w:val="7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zh-CN"/>
        </w:rPr>
        <w:t>разработка проекта обучающимися под наставничеством взрослого;</w:t>
      </w:r>
    </w:p>
    <w:p>
      <w:pPr>
        <w:pStyle w:val="Normal"/>
        <w:numPr>
          <w:ilvl w:val="0"/>
          <w:numId w:val="7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zh-CN"/>
        </w:rPr>
        <w:t>реализация волонтерского проекта;</w:t>
      </w:r>
    </w:p>
    <w:p>
      <w:pPr>
        <w:pStyle w:val="Normal"/>
        <w:numPr>
          <w:ilvl w:val="0"/>
          <w:numId w:val="7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zh-CN"/>
        </w:rPr>
        <w:t>презентация, демонстрация итогов проекта;</w:t>
      </w:r>
    </w:p>
    <w:p>
      <w:pPr>
        <w:pStyle w:val="Normal"/>
        <w:numPr>
          <w:ilvl w:val="0"/>
          <w:numId w:val="7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zh-CN"/>
        </w:rPr>
        <w:t>рефлексия, самоанализ проделанной работы.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zh-CN"/>
        </w:rPr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Уровни программы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Данная дополнительная общеобразовательная общеразвивающая программа описывает стартовый уровень сложности и предполагает системное усложнение материала и введение разнообразных форм практики. 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zh-CN"/>
        </w:rPr>
        <w:t>Модули обучения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Занятия по программе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zh-CN"/>
        </w:rPr>
        <w:t>«Волонтёрский отряд «Рука в руке»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в первый год обучения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zh-CN"/>
        </w:rPr>
        <w:t xml:space="preserve"> на стартовом уровне </w:t>
      </w: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проходят в индивидуальной, групповой, коллективной формах по следующим модулям: </w:t>
      </w:r>
    </w:p>
    <w:p>
      <w:pPr>
        <w:pStyle w:val="ListParagraph"/>
        <w:numPr>
          <w:ilvl w:val="0"/>
          <w:numId w:val="14"/>
        </w:numPr>
        <w:spacing w:lineRule="auto" w:line="276"/>
        <w:ind w:hanging="0" w:left="0"/>
        <w:jc w:val="both"/>
        <w:rPr/>
      </w:pPr>
      <w:r>
        <w:rPr>
          <w:b/>
        </w:rPr>
        <w:t xml:space="preserve">Модуль «Волонтерство в чрезвычайных ситуациях» (волонтерство общественной безопасности) – </w:t>
      </w:r>
      <w:r>
        <w:rPr/>
        <w:t>добровольческая (волонтерская)деятельность в области содействия общественной безопасности и защиты населения и территорий от чрезвычайных ситуаций. Включает проведение профилактических мероприятий, направленных на предупреждение чрезвычайных ситуаций ипожаров, а также защиту населения и территорий от ЧС; участие в ликвидации пожаров и последствий чрезвычайных ситуаций техногенного и природного характера; содействие в поиске пропавших людей, а также содействие органам внутренних дел и иным правоохранительным органам в охране общественного порядка в добровольных народных дружинах; популяризацию культуры безопасности среди населения; содействие интернет-безопасности и противодействию распространения наркотических средств и психоактивных веществ.</w:t>
      </w:r>
    </w:p>
    <w:p>
      <w:pPr>
        <w:pStyle w:val="ListParagraph"/>
        <w:spacing w:lineRule="auto" w:line="276"/>
        <w:ind w:left="0"/>
        <w:jc w:val="both"/>
        <w:rPr/>
      </w:pPr>
      <w:r>
        <w:rPr/>
      </w:r>
    </w:p>
    <w:p>
      <w:pPr>
        <w:pStyle w:val="ListParagraph"/>
        <w:numPr>
          <w:ilvl w:val="0"/>
          <w:numId w:val="14"/>
        </w:numPr>
        <w:spacing w:lineRule="auto" w:line="276"/>
        <w:ind w:hanging="0" w:left="0"/>
        <w:jc w:val="both"/>
        <w:rPr/>
      </w:pPr>
      <w:r>
        <w:rPr>
          <w:b/>
        </w:rPr>
        <w:t xml:space="preserve">Модуль  «Культурное волонтерство» – </w:t>
      </w:r>
      <w:r>
        <w:rPr/>
        <w:t>добровольческая (волонтерская) деятельность, направленная на формирование культурной идентичности, сохранение и передачу культурного и исторического наследия, в том числе поддержка деятельности организаций культуры; содействие в организации и проведении массовых мероприятий в сфере культуры; участие в осуществлении работ по сохранению объектов культурного наследия (памятников истории и культуры); проведение экскурсий, работа с туристическими группами, с музейными и библиотечными фондами, обучение различным видам творческих практик и прочие виды профильной добровольческой деятельности.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4"/>
        </w:numPr>
        <w:spacing w:lineRule="auto" w:line="276"/>
        <w:ind w:hanging="0" w:left="0"/>
        <w:jc w:val="both"/>
        <w:rPr/>
      </w:pPr>
      <w:r>
        <w:rPr>
          <w:b/>
        </w:rPr>
        <w:t xml:space="preserve">Модуль «Медиаволонтерство» – </w:t>
      </w:r>
      <w:r>
        <w:rPr/>
        <w:t>добровольческая (волонтерская) деятельность, направленная на формирование информационного поля вокруг общественно- значимых событий, информационную поддержку социальных и добровольческих проектов, мероприятий и программ, включающая создание волонтерами в качестве фотографов, журналистов, SMM-специалистов, видео- операторов позитивного контента и его распространение в СМИ и социальных сетях.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4"/>
        </w:numPr>
        <w:spacing w:lineRule="auto" w:line="276"/>
        <w:ind w:hanging="0" w:left="0"/>
        <w:jc w:val="both"/>
        <w:rPr/>
      </w:pPr>
      <w:r>
        <w:rPr>
          <w:b/>
        </w:rPr>
        <w:t xml:space="preserve">Модуль «Медицинское волонтерство» – </w:t>
      </w:r>
      <w:r>
        <w:rPr/>
        <w:t>добровольческая (волонтерская) деятельность, направленная на оказание помощи практическому здравоохранению и возрождение традиций милосердия. Охватывает содействие в оказании медицинской помощи гражданам; содействие в формированииздорового образа жизни населения,профилактике возникновения и распространения заболеваний; пропаганду донорства крови и ее компонентов; информационную, консультативную, просветительскую, досуговую и иную поддержку пациентов медицинских организаций по месту их нахождения; помощь в уходе</w:t>
        <w:tab/>
        <w:t xml:space="preserve"> за пациентами в лечебных и реабилитационных учреждениях; сопровождение спортивных и массовых мероприятий; профориентационную работу среди школьников и другую деятельность в сфере здравоохранения, повышения качества медицинской помощи и здоровьесберегающих технологий.</w:t>
      </w:r>
    </w:p>
    <w:p>
      <w:pPr>
        <w:pStyle w:val="ListParagraph"/>
        <w:ind w:left="0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4"/>
        </w:numPr>
        <w:spacing w:lineRule="auto" w:line="276"/>
        <w:ind w:hanging="0" w:left="0"/>
        <w:jc w:val="both"/>
        <w:rPr/>
      </w:pPr>
      <w:r>
        <w:rPr>
          <w:b/>
        </w:rPr>
        <w:t xml:space="preserve">Модуль «Образовательное волонтерство» – </w:t>
      </w:r>
      <w:r>
        <w:rPr/>
        <w:t>добровольческая (волонтерская) деятельность, включающая участие добровольцев в реализации просветительских программ и проектов, а также в развитии дополнительных компетенций для детей и взрослых. Подразумевает преподавание на безвозмездной основе по программам общего и дополнительного образования; организацию курсов, мастер-классов, научных лагерей, экспедиций и олимпиад в различных гуманитарных, естественно-научных, прикладных, творческих и технических областях. Может реализовываться в том числе через осуществление просветительской и консультативной деятельности, наставничества, тьюторства, в формате «обучение через добровольчество (волонтерство)», предполагающем</w:t>
        <w:tab/>
        <w:t>участие преподавателей и обучающихся в добровольческих (волонтерских) проектах и программах образовательных организаций всех уровней образования, реализации совместных благотворительных программ образовательных организаций, социально ориентированных некоммерческих организаций и коммерческих организаций с использованием их профессиональных компетенций.</w:t>
      </w:r>
    </w:p>
    <w:p>
      <w:pPr>
        <w:pStyle w:val="ListParagraph"/>
        <w:ind w:left="0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4"/>
        </w:numPr>
        <w:spacing w:lineRule="auto" w:line="276"/>
        <w:ind w:hanging="0" w:left="0"/>
        <w:jc w:val="both"/>
        <w:rPr/>
      </w:pPr>
      <w:r>
        <w:rPr>
          <w:b/>
        </w:rPr>
        <w:t>Модуль «Патриотическое волонтерство»</w:t>
      </w:r>
      <w:r>
        <w:rPr/>
        <w:t xml:space="preserve"> – добровольческая (волонтерская) деятельность, направленная на гражданско-патриотическое воспитание граждан, восстановление и сохранение исторической памяти. В рамках патриотического волонтерства осуществляется оказание помощи ветеранам Великой Отечественной войны и боевых действий, взаимодействие с ветеранскими организациями, благоустройство памятных мест и воинских захоронений,  содействие  в  увековечении  памяти  погибших  при  защите Отечества, участие добровольцев в организации акций, посвященных памятным событиям в истории России, проводятся поисковые работы, исторические реконструкции, организуется просветительская работа по сбережению исторической правды и противодействию подмене исторических фактов.</w:t>
      </w:r>
    </w:p>
    <w:p>
      <w:pPr>
        <w:pStyle w:val="ListParagraph"/>
        <w:ind w:left="0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4"/>
        </w:numPr>
        <w:spacing w:lineRule="auto" w:line="276"/>
        <w:ind w:hanging="0" w:left="0"/>
        <w:jc w:val="both"/>
        <w:rPr/>
      </w:pPr>
      <w:r>
        <w:rPr>
          <w:b/>
        </w:rPr>
        <w:t>Модуль «Событийное волонтерство»</w:t>
      </w:r>
      <w:r>
        <w:rPr/>
        <w:t xml:space="preserve"> – добровольческая (волонтерская) деятельность, направленная на оказание безвозмездной помощи в подготовке, проведении и достижении стратегических целей какого-либо общественно значимого мероприятия. Такая деятельность осуществляется на досуговых, спортивных, образовательных, представительских, экономических и иных мероприятиях локального, местного, регионального, федерального и международного уровней. В событийном волонтерстве отдельно выделяют спортивное волонтерство, включающее участие в организации и (или) проведении физкультурных и спортивных мероприятий; участие в организации и деятельности объектов спорта; участие в организации и проведении спортивных мероприятий среди лиц с ограниченными возможностями здоровья и инвалидов.</w:t>
      </w:r>
    </w:p>
    <w:p>
      <w:pPr>
        <w:pStyle w:val="ListParagraph"/>
        <w:ind w:left="0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4"/>
        </w:numPr>
        <w:spacing w:lineRule="auto" w:line="276"/>
        <w:ind w:hanging="0" w:left="0"/>
        <w:jc w:val="both"/>
        <w:rPr/>
      </w:pPr>
      <w:r>
        <w:rPr>
          <w:b/>
        </w:rPr>
        <w:t xml:space="preserve">Модуль «Социальное волонтерство» – </w:t>
      </w:r>
      <w:r>
        <w:rPr/>
        <w:t>добровольческая (волонтерская) деятельность, направленная на оказание помощи отдельным гражданам и (или) социальным группам населения из числа социально незащищенных, социально уязвимых и (или) находящихся в трудной жизненной ситуации категорий граждан, осуществляемая с целью улучшения качества их жизни, предупреждения и преодоления негативных жизненных обстоятельств. Включает участие волонтеров в оказании безвозмездной помощи гражданам, нуждающимся в социальной поддержке и социальном обслуживании, в том числе: содействие в оказании помощи в организациях социального обслуживания (домах-интернатах   (пансионатах) для престарелых и инвалидов, психоневрологических интернатах, в том числе детских, центрах социального обслуживания населения, центрах социальной адаптации и других); содействие в оказании социальных услуг на дому; содействие в осуществлении  социального  обслуживания  нуждающихся; содействие  воказании помощи лицам, находящимся в трудной жизненной ситуации, а также обеспечение профилактики социального сиротства; содействие в реализации программ социализации выпускников учреждений для детей-сирот, детей, оставшихся без попечения родителей, людей с ограниченными возможностями здоровья, людей с наркотической и алкогольной зависимостью, инвалидов, лиц, освобожденных из мест лишения свободы, и иных нуждающихся категорий населения.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4"/>
        </w:numPr>
        <w:spacing w:lineRule="auto" w:line="276"/>
        <w:ind w:hanging="0" w:left="0"/>
        <w:jc w:val="both"/>
        <w:rPr/>
      </w:pPr>
      <w:r>
        <w:rPr>
          <w:b/>
        </w:rPr>
        <w:t>Модуль «Экологическое волонтерство»</w:t>
      </w:r>
      <w:r>
        <w:rPr/>
        <w:t xml:space="preserve"> – добровольческая (волонтерская) деятельность в области защиты окружающей среды, направленная на решение экологических проблем и формирование экологической культуры в обществе. Включает содействие восстановлению природных экосистем, очистке природной среды от мусора, в том числе в организации раздельного сбора отходов; содействие природоохранной деятельности; содействие формированию экологической культуры и экологического просвещения; участие в охране животного мира, сохранении и восстановлении среды его обитания; содействие в оказании помощи осуществляющим управление особо охраняемыми природными территориями учреждениям в сфере сохранения в естественном состоянии природных комплексов и содействие в работе по выявлению фактов нарушения лесного законодательства Российской Федерации и другие формы добровольного участия в сфере охраны окружающей среды.</w:t>
      </w:r>
    </w:p>
    <w:p>
      <w:pPr>
        <w:pStyle w:val="ListParagraph"/>
        <w:spacing w:lineRule="auto" w:line="276"/>
        <w:ind w:left="0"/>
        <w:jc w:val="both"/>
        <w:rPr/>
      </w:pPr>
      <w:r>
        <w:rPr/>
      </w:r>
    </w:p>
    <w:p>
      <w:pPr>
        <w:pStyle w:val="ListParagraph"/>
        <w:numPr>
          <w:ilvl w:val="0"/>
          <w:numId w:val="14"/>
        </w:numPr>
        <w:spacing w:lineRule="auto" w:line="276"/>
        <w:ind w:hanging="0" w:left="0"/>
        <w:jc w:val="both"/>
        <w:rPr/>
      </w:pPr>
      <w:r>
        <w:rPr>
          <w:b/>
        </w:rPr>
        <w:t xml:space="preserve"> </w:t>
      </w:r>
      <w:r>
        <w:rPr>
          <w:b/>
        </w:rPr>
        <w:t>Модуль</w:t>
      </w:r>
      <w:r>
        <w:rPr/>
        <w:t xml:space="preserve"> «</w:t>
      </w:r>
      <w:r>
        <w:rPr>
          <w:b/>
        </w:rPr>
        <w:t>Инклюзивное волонтерство»</w:t>
      </w:r>
      <w:r>
        <w:rPr/>
        <w:t xml:space="preserve"> предполагает включение в добровольческую деятельность людей с ограниченными возможностями здоровья.</w:t>
      </w:r>
    </w:p>
    <w:p>
      <w:pPr>
        <w:pStyle w:val="ListParagraph"/>
        <w:spacing w:lineRule="auto" w:line="276"/>
        <w:ind w:left="0"/>
        <w:jc w:val="both"/>
        <w:rPr/>
      </w:pPr>
      <w:r>
        <w:rPr>
          <w:b/>
        </w:rPr>
        <w:t>«Серебряное» волонтерство»</w:t>
      </w:r>
      <w:r>
        <w:rPr/>
        <w:t xml:space="preserve"> подразумевает вовлечение в волонтерскую деятельность людей пенсионного и предпенсионного возраста (55+).</w:t>
      </w:r>
    </w:p>
    <w:p>
      <w:pPr>
        <w:pStyle w:val="ListParagraph"/>
        <w:spacing w:lineRule="auto" w:line="276"/>
        <w:ind w:left="0"/>
        <w:jc w:val="both"/>
        <w:rPr/>
      </w:pPr>
      <w:r>
        <w:rPr>
          <w:b/>
        </w:rPr>
        <w:t>«Семейное волонтерство»</w:t>
      </w:r>
      <w:r>
        <w:rPr/>
        <w:t xml:space="preserve"> предполагает добровольческую деятельность, в которой участвуют двое или более членов одной семьи, в том числе из разных поколений: супруги, родители с детьми, дедушки и бабушки, сестры и братья.</w:t>
      </w:r>
    </w:p>
    <w:p>
      <w:pPr>
        <w:pStyle w:val="ListParagraph"/>
        <w:spacing w:lineRule="auto" w:line="276"/>
        <w:ind w:left="0"/>
        <w:jc w:val="both"/>
        <w:rPr/>
      </w:pPr>
      <w:r>
        <w:rPr>
          <w:b/>
        </w:rPr>
        <w:t>«Корпоративное волонтерство»</w:t>
      </w:r>
      <w:r>
        <w:rPr/>
        <w:t xml:space="preserve"> подразумевает добровольческую деятельность сотрудников организаций при поддержке своей компании.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Обучающиеся могут менять формат своего участия в программе обучения в зависимости от предпочтений ребенка и результатов его деятельности на основе самоанализа.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Наставник может моделировать занятия школьного отряда добровольцев, выбрав один модуль, в таком случае в школе будет создан, например, Отряд волонтеров науки, который весь учебный год занимается просветительской деятельностью в сфере науки.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Возможно сочетание нескольких модулей, работа по которым ведется последовательно или параллельно.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Возможно создание нескольких профильных волонтерских отрядов, каждый из которых занимается своим направлением волонтерства.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Также возможен вариант освоения всех направлений волонтерства, например, в сентябре участники отряда пробуют себя в роли волонтеров науки и помогают проводить Линейку в День Знаний, а одноклассникам адаптироваться после каникул. А в октябре ребята могут пробовать себя в роли социального волонтера и связать свою деятельность с Днем пожилого человека. В ноябре можно осваивать патриотическое волонтерство и помогать школе праздновать День Народного Единства, а в декабре придет время для событийного волонтерства, связанного с празднованием Нового года.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/>
          <w:iCs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iCs/>
          <w:color w:val="000000"/>
          <w:sz w:val="24"/>
          <w:szCs w:val="24"/>
          <w:lang w:eastAsia="zh-CN"/>
        </w:rPr>
        <w:t>Виды учебных занятий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/>
      </w:pPr>
      <w:r>
        <w:rPr/>
        <w:t>беседы и дискуссии;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/>
      </w:pPr>
      <w:r>
        <w:rPr/>
        <w:t>тематические кино- и видеопоказы;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/>
      </w:pPr>
      <w:r>
        <w:rPr/>
        <w:t>творческие конкурсы;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/>
      </w:pPr>
      <w:r>
        <w:rPr/>
        <w:t>викторины;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/>
      </w:pPr>
      <w:r>
        <w:rPr/>
        <w:t>круглые столы и конференции;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/>
      </w:pPr>
      <w:r>
        <w:rPr/>
        <w:t>этапные и деловые игры;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/>
      </w:pPr>
      <w:r>
        <w:rPr/>
        <w:t>квесты;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/>
      </w:pPr>
      <w:r>
        <w:rPr/>
        <w:t>индивидуальные и групповые проекты;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/>
      </w:pPr>
      <w:r>
        <w:rPr/>
        <w:t>экскурсии в волонтерские центры;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/>
      </w:pPr>
      <w:r>
        <w:rPr/>
        <w:t>создание виртуальных выставок и презентаций.</w:t>
      </w:r>
    </w:p>
    <w:p>
      <w:pPr>
        <w:pStyle w:val="Normal"/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zh-CN"/>
        </w:rPr>
        <w:t>Формы подведения результатов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Промежуточный и итоговый контроль результатов освоения программы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zh-CN"/>
        </w:rPr>
        <w:t>«Волонтёрский отряд «Рука в руке»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проходит в формате практических занятий, защиты проектов, участия в конкурсах по направлению «Добровольчество и волонтерство» на платформе Движения Первых, в волонтерских и благотворительных инициативах местного и школьного уровня.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  <w:lang w:eastAsia="zh-CN"/>
        </w:rPr>
        <w:t>Что считать результатом освоения программы:</w:t>
      </w:r>
    </w:p>
    <w:p>
      <w:pPr>
        <w:pStyle w:val="Normal"/>
        <w:numPr>
          <w:ilvl w:val="0"/>
          <w:numId w:val="8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освоение обучающимся основ добровольческой деятельности, свободное оперирование специальными терминами и понятиями;</w:t>
      </w:r>
    </w:p>
    <w:p>
      <w:pPr>
        <w:pStyle w:val="Normal"/>
        <w:numPr>
          <w:ilvl w:val="0"/>
          <w:numId w:val="8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освоение обучающимися навыков волонтерской работы, организации мероприятий, акций, событий;</w:t>
      </w:r>
    </w:p>
    <w:p>
      <w:pPr>
        <w:pStyle w:val="Normal"/>
        <w:numPr>
          <w:ilvl w:val="0"/>
          <w:numId w:val="8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участие в муниципальных, региональных, федеральных конкурсах по направлению «Добровольчество и волонтерство», организованных некоммерческими организациями на безвозмездной основе;</w:t>
      </w:r>
    </w:p>
    <w:p>
      <w:pPr>
        <w:pStyle w:val="Normal"/>
        <w:numPr>
          <w:ilvl w:val="0"/>
          <w:numId w:val="8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реализованныеволонтерские проекты, инициативы в школе, в своем населенном пункте, в Каменском муниципальном округе;</w:t>
      </w:r>
    </w:p>
    <w:p>
      <w:pPr>
        <w:pStyle w:val="Normal"/>
        <w:numPr>
          <w:ilvl w:val="0"/>
          <w:numId w:val="8"/>
        </w:numPr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регулярное информирование в официальных пабликах и на своих личных страницах о деятельностиотрядадобровольцев.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Liberation Serif" w:cs="Times New Roman" w:ascii="Times New Roman" w:hAnsi="Times New Roman"/>
          <w:b/>
          <w:bCs/>
          <w:sz w:val="24"/>
          <w:szCs w:val="24"/>
          <w:lang w:eastAsia="zh-CN"/>
        </w:rPr>
        <w:t xml:space="preserve">2.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ЦЕЛЬ И ОСНОВНЫЕ ЗАДАЧИ ПРОГРАММЫ</w:t>
      </w:r>
    </w:p>
    <w:p>
      <w:pPr>
        <w:pStyle w:val="Normal"/>
        <w:shd w:val="clear" w:color="auto" w:fill="FFFFFF"/>
        <w:spacing w:lineRule="auto" w:line="276" w:before="0" w:after="0"/>
        <w:ind w:firstLine="709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hd w:val="clear" w:color="auto" w:fill="FFFFFF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i/>
          <w:sz w:val="24"/>
          <w:szCs w:val="24"/>
          <w:lang w:eastAsia="ru-RU"/>
        </w:rPr>
        <w:t>Целью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дополнительной общеобразовательной общеразвивающей программы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zh-CN"/>
        </w:rPr>
        <w:t xml:space="preserve">«Волонтёрский отряд «Рука в руке»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является создание среды возможностей для формирования у обучающихся мировоззрения созидателя, помощника, неравнодушного человека, а также пространства для практики в разных направлениях добровольческой деятельности.</w:t>
      </w:r>
    </w:p>
    <w:p>
      <w:pPr>
        <w:pStyle w:val="Normal"/>
        <w:shd w:val="clear" w:color="auto" w:fill="FFFFFF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sz w:val="24"/>
          <w:szCs w:val="24"/>
          <w:lang w:eastAsia="ru-RU"/>
        </w:rPr>
        <w:t>Задачами программы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являются: </w:t>
      </w:r>
    </w:p>
    <w:p>
      <w:pPr>
        <w:pStyle w:val="ListParagraph"/>
        <w:numPr>
          <w:ilvl w:val="0"/>
          <w:numId w:val="9"/>
        </w:numPr>
        <w:shd w:val="clear" w:color="auto" w:fill="FFFFFF"/>
        <w:spacing w:lineRule="auto" w:line="276"/>
        <w:jc w:val="both"/>
        <w:rPr>
          <w:bCs/>
          <w:lang w:eastAsia="ru-RU"/>
        </w:rPr>
      </w:pPr>
      <w:r>
        <w:rPr>
          <w:bCs/>
          <w:lang w:eastAsia="ru-RU"/>
        </w:rPr>
        <w:t>повысить уровень информированности обучающихся о добровольческом движении и благотворительности, целях, задачах, участниках, результатах и социальных эффектах этих общественных феноменов;</w:t>
      </w:r>
    </w:p>
    <w:p>
      <w:pPr>
        <w:pStyle w:val="ListParagraph"/>
        <w:numPr>
          <w:ilvl w:val="0"/>
          <w:numId w:val="9"/>
        </w:numPr>
        <w:shd w:val="clear" w:color="auto" w:fill="FFFFFF"/>
        <w:spacing w:lineRule="auto" w:line="276"/>
        <w:jc w:val="both"/>
        <w:rPr>
          <w:bCs/>
          <w:lang w:eastAsia="ru-RU"/>
        </w:rPr>
      </w:pPr>
      <w:r>
        <w:rPr>
          <w:bCs/>
          <w:lang w:eastAsia="ru-RU"/>
        </w:rPr>
        <w:t>ознакомить обучающихся с механизмами включения в добровольческие и благотворительные практики, а также с траекториями развития в сфере волонтерского движения и благотворительности;</w:t>
      </w:r>
    </w:p>
    <w:p>
      <w:pPr>
        <w:pStyle w:val="ListParagraph"/>
        <w:numPr>
          <w:ilvl w:val="0"/>
          <w:numId w:val="9"/>
        </w:numPr>
        <w:shd w:val="clear" w:color="auto" w:fill="FFFFFF"/>
        <w:spacing w:lineRule="auto" w:line="276"/>
        <w:jc w:val="both"/>
        <w:rPr>
          <w:bCs/>
          <w:lang w:eastAsia="ru-RU"/>
        </w:rPr>
      </w:pPr>
      <w:r>
        <w:rPr>
          <w:bCs/>
          <w:lang w:eastAsia="ru-RU"/>
        </w:rPr>
        <w:t>вдохновить обучающихся на приобщение к добровольческой и благотворительной деятельности;</w:t>
      </w:r>
    </w:p>
    <w:p>
      <w:pPr>
        <w:pStyle w:val="ListParagraph"/>
        <w:numPr>
          <w:ilvl w:val="0"/>
          <w:numId w:val="9"/>
        </w:numPr>
        <w:shd w:val="clear" w:color="auto" w:fill="FFFFFF"/>
        <w:spacing w:lineRule="auto" w:line="276"/>
        <w:jc w:val="both"/>
        <w:rPr>
          <w:bCs/>
          <w:lang w:eastAsia="ru-RU"/>
        </w:rPr>
      </w:pPr>
      <w:r>
        <w:rPr>
          <w:bCs/>
          <w:lang w:eastAsia="ru-RU"/>
        </w:rPr>
        <w:t>развить ответственное и проактивное отношение подрастающего поколения к окружающей действительности, происходящему в городе, регионе, стране;</w:t>
      </w:r>
    </w:p>
    <w:p>
      <w:pPr>
        <w:pStyle w:val="ListParagraph"/>
        <w:numPr>
          <w:ilvl w:val="0"/>
          <w:numId w:val="9"/>
        </w:numPr>
        <w:shd w:val="clear" w:color="auto" w:fill="FFFFFF"/>
        <w:spacing w:lineRule="auto" w:line="276"/>
        <w:jc w:val="both"/>
        <w:rPr>
          <w:bCs/>
          <w:lang w:eastAsia="ru-RU"/>
        </w:rPr>
      </w:pPr>
      <w:r>
        <w:rPr>
          <w:bCs/>
          <w:lang w:eastAsia="ru-RU"/>
        </w:rPr>
        <w:t>внести вклад в воспитание у обучающихся милосердия, сострадания, желания оказывать поддержку тем, кто нуждается в помощи.</w:t>
      </w:r>
    </w:p>
    <w:p>
      <w:pPr>
        <w:pStyle w:val="ListParagraph"/>
        <w:shd w:val="clear" w:color="auto" w:fill="FFFFFF"/>
        <w:spacing w:lineRule="auto" w:line="276"/>
        <w:jc w:val="both"/>
        <w:rPr>
          <w:bCs/>
          <w:lang w:eastAsia="ru-RU"/>
        </w:rPr>
      </w:pPr>
      <w:r>
        <w:rPr>
          <w:bCs/>
          <w:lang w:eastAsia="ru-RU"/>
        </w:rPr>
      </w:r>
    </w:p>
    <w:p>
      <w:pPr>
        <w:pStyle w:val="Normal"/>
        <w:widowControl w:val="false"/>
        <w:spacing w:lineRule="auto" w:line="276" w:before="134" w:after="0"/>
        <w:ind w:firstLine="708" w:left="140" w:right="56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Разработка программы опирается на следующие дидактические принципы компетентностного подхода:</w:t>
      </w:r>
    </w:p>
    <w:p>
      <w:pPr>
        <w:pStyle w:val="Normal"/>
        <w:widowControl w:val="false"/>
        <w:numPr>
          <w:ilvl w:val="0"/>
          <w:numId w:val="10"/>
        </w:numPr>
        <w:tabs>
          <w:tab w:val="clear" w:pos="708"/>
          <w:tab w:val="left" w:pos="1273" w:leader="none"/>
        </w:tabs>
        <w:spacing w:lineRule="auto" w:line="240" w:before="121" w:after="0"/>
        <w:ind w:hanging="424" w:left="127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принцип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системности;</w:t>
      </w:r>
    </w:p>
    <w:p>
      <w:pPr>
        <w:pStyle w:val="Normal"/>
        <w:widowControl w:val="false"/>
        <w:numPr>
          <w:ilvl w:val="0"/>
          <w:numId w:val="10"/>
        </w:numPr>
        <w:tabs>
          <w:tab w:val="clear" w:pos="708"/>
          <w:tab w:val="left" w:pos="1273" w:leader="none"/>
        </w:tabs>
        <w:spacing w:lineRule="auto" w:line="240" w:before="161" w:after="0"/>
        <w:ind w:hanging="424" w:left="127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принцип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доступности;</w:t>
      </w:r>
    </w:p>
    <w:p>
      <w:pPr>
        <w:pStyle w:val="Normal"/>
        <w:widowControl w:val="false"/>
        <w:numPr>
          <w:ilvl w:val="0"/>
          <w:numId w:val="10"/>
        </w:numPr>
        <w:tabs>
          <w:tab w:val="clear" w:pos="708"/>
          <w:tab w:val="left" w:pos="1273" w:leader="none"/>
        </w:tabs>
        <w:spacing w:lineRule="auto" w:line="240" w:before="158" w:after="0"/>
        <w:ind w:hanging="424" w:left="127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принцип сознательной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активности;</w:t>
      </w:r>
    </w:p>
    <w:p>
      <w:pPr>
        <w:pStyle w:val="Normal"/>
        <w:widowControl w:val="false"/>
        <w:numPr>
          <w:ilvl w:val="0"/>
          <w:numId w:val="10"/>
        </w:numPr>
        <w:tabs>
          <w:tab w:val="clear" w:pos="708"/>
          <w:tab w:val="left" w:pos="1273" w:leader="none"/>
        </w:tabs>
        <w:spacing w:lineRule="auto" w:line="240" w:before="161" w:after="0"/>
        <w:ind w:hanging="424" w:left="127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принцип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мотивации;</w:t>
      </w:r>
    </w:p>
    <w:p>
      <w:pPr>
        <w:pStyle w:val="Normal"/>
        <w:widowControl w:val="false"/>
        <w:numPr>
          <w:ilvl w:val="0"/>
          <w:numId w:val="10"/>
        </w:numPr>
        <w:tabs>
          <w:tab w:val="clear" w:pos="708"/>
          <w:tab w:val="left" w:pos="1273" w:leader="none"/>
        </w:tabs>
        <w:spacing w:lineRule="auto" w:line="240" w:before="161" w:after="0"/>
        <w:ind w:hanging="424" w:left="127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принцип связи обучения с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жизнью.</w:t>
      </w:r>
    </w:p>
    <w:p>
      <w:pPr>
        <w:pStyle w:val="Normal"/>
        <w:widowControl w:val="false"/>
        <w:spacing w:lineRule="auto" w:line="276" w:before="277" w:after="0"/>
        <w:ind w:firstLine="708" w:left="140" w:right="5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Принцип системности</w:t>
      </w:r>
      <w:r>
        <w:rPr>
          <w:rFonts w:eastAsia="Times New Roman" w:cs="Times New Roman" w:ascii="Times New Roman" w:hAnsi="Times New Roman"/>
          <w:sz w:val="24"/>
          <w:szCs w:val="24"/>
        </w:rPr>
        <w:t>. Соблюдение данного принципа позволит представить обучающимся совокупность разнообразных направлений и форм добровольческого движения и благотворительности в единстве их морально- этических установок.</w:t>
      </w:r>
    </w:p>
    <w:p>
      <w:pPr>
        <w:pStyle w:val="Normal"/>
        <w:widowControl w:val="false"/>
        <w:spacing w:lineRule="auto" w:line="276" w:before="1" w:after="0"/>
        <w:ind w:firstLine="708" w:left="140" w:right="565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Принцип доступности</w:t>
      </w:r>
      <w:r>
        <w:rPr>
          <w:rFonts w:eastAsia="Times New Roman" w:cs="Times New Roman" w:ascii="Times New Roman" w:hAnsi="Times New Roman"/>
          <w:sz w:val="24"/>
          <w:szCs w:val="24"/>
        </w:rPr>
        <w:t>. Содержание Урока подразумевает доступные формы донесения информации до каждой возрастной группы, учитывающие личный, социальный опыт обучающихся и их психологические особенности.</w:t>
      </w:r>
    </w:p>
    <w:p>
      <w:pPr>
        <w:pStyle w:val="Normal"/>
        <w:widowControl w:val="false"/>
        <w:spacing w:lineRule="auto" w:line="276" w:before="89" w:after="0"/>
        <w:ind w:firstLine="708" w:right="56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Принцип сознательной активности</w:t>
      </w:r>
      <w:r>
        <w:rPr>
          <w:rFonts w:eastAsia="Times New Roman" w:cs="Times New Roman" w:ascii="Times New Roman" w:hAnsi="Times New Roman"/>
          <w:sz w:val="24"/>
          <w:szCs w:val="24"/>
        </w:rPr>
        <w:t>. Освоение материала Урокаопирается на активную включенность обучающихся в процесс познания, обращение педагога к личностному опыту обучающегося и обогащение его в процессе деятельности на Уроке.</w:t>
      </w:r>
    </w:p>
    <w:p>
      <w:pPr>
        <w:pStyle w:val="Normal"/>
        <w:widowControl w:val="false"/>
        <w:spacing w:lineRule="auto" w:line="276" w:before="1" w:after="0"/>
        <w:ind w:firstLine="708" w:left="140" w:right="56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Принцип мотивации</w:t>
      </w:r>
      <w:r>
        <w:rPr>
          <w:rFonts w:eastAsia="Times New Roman" w:cs="Times New Roman" w:ascii="Times New Roman" w:hAnsi="Times New Roman"/>
          <w:sz w:val="24"/>
          <w:szCs w:val="24"/>
        </w:rPr>
        <w:t>. Направлен на выработку в ходе Урока у обучающихся мотивации на дальнейший поиск и освоение информации по изучаемой теме.</w:t>
      </w:r>
    </w:p>
    <w:p>
      <w:pPr>
        <w:pStyle w:val="Normal"/>
        <w:widowControl w:val="false"/>
        <w:spacing w:lineRule="auto" w:line="276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Принцип связи обучения с жизнью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. Данный принцип способствует формированию у обучающихся умения применять полученные знания на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практике.</w:t>
      </w:r>
    </w:p>
    <w:p>
      <w:pPr>
        <w:pStyle w:val="Normal"/>
        <w:widowControl w:val="false"/>
        <w:spacing w:lineRule="auto" w:line="276" w:before="0" w:after="0"/>
        <w:ind w:firstLine="708" w:left="140" w:right="56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Основными нравственными ориентирами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, которых следует придерживаться, реализуя программу, являются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понятия</w:t>
      </w:r>
      <w:r>
        <w:rPr>
          <w:rFonts w:eastAsia="Times New Roman" w:cs="Times New Roman" w:ascii="Times New Roman" w:hAnsi="Times New Roman"/>
          <w:sz w:val="24"/>
          <w:szCs w:val="24"/>
        </w:rPr>
        <w:t>: «гражданственность», «патриотизм», «милосердие», «сострадание», «гуманизм», «альтруизм», «бескорыстие», «ответственность», «готовность прийти на помощь».</w:t>
      </w:r>
    </w:p>
    <w:p>
      <w:pPr>
        <w:pStyle w:val="Normal"/>
        <w:widowControl w:val="false"/>
        <w:spacing w:lineRule="auto" w:line="276" w:before="0" w:after="0"/>
        <w:ind w:firstLine="708" w:left="140" w:right="562"/>
        <w:jc w:val="both"/>
        <w:rPr>
          <w:rFonts w:ascii="Times New Roman" w:hAnsi="Times New Roman" w:eastAsia="Times New Roman" w:cs="Times New Roman"/>
          <w:spacing w:val="-2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Формы и методы организации воспитательных событий, обучающих занятий и иных мероприятий должны соответствовать уровню подготовки обучающихся, при этом быть интересными и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результативными.</w:t>
      </w:r>
    </w:p>
    <w:p>
      <w:pPr>
        <w:pStyle w:val="Normal"/>
        <w:widowControl w:val="false"/>
        <w:spacing w:lineRule="auto" w:line="276" w:before="0" w:after="0"/>
        <w:ind w:firstLine="708" w:left="140" w:right="562"/>
        <w:jc w:val="both"/>
        <w:rPr>
          <w:rFonts w:ascii="Times New Roman" w:hAnsi="Times New Roman" w:eastAsia="Times New Roman" w:cs="Times New Roman"/>
          <w:spacing w:val="-2"/>
          <w:sz w:val="24"/>
          <w:szCs w:val="24"/>
        </w:rPr>
      </w:pPr>
      <w:r>
        <w:rPr>
          <w:rFonts w:eastAsia="Times New Roman" w:cs="Times New Roman" w:ascii="Times New Roman" w:hAnsi="Times New Roman"/>
          <w:spacing w:val="-2"/>
          <w:sz w:val="24"/>
          <w:szCs w:val="24"/>
        </w:rPr>
      </w:r>
    </w:p>
    <w:p>
      <w:pPr>
        <w:pStyle w:val="Normal"/>
        <w:shd w:val="clear" w:color="auto" w:fill="FFFFFF"/>
        <w:spacing w:lineRule="auto" w:line="276" w:before="0" w:after="0"/>
        <w:ind w:firstLine="709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3. СОДЕРЖАНИЕ ПРОГРАММЫ</w:t>
      </w:r>
    </w:p>
    <w:p>
      <w:pPr>
        <w:pStyle w:val="Normal"/>
        <w:tabs>
          <w:tab w:val="clear" w:pos="708"/>
          <w:tab w:val="left" w:pos="4236" w:leader="none"/>
        </w:tabs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tabs>
          <w:tab w:val="clear" w:pos="708"/>
          <w:tab w:val="left" w:pos="4236" w:leader="none"/>
        </w:tabs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 xml:space="preserve">Учебный (тематический)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>план. Стартовый уровень 1 год обучения</w:t>
      </w:r>
    </w:p>
    <w:p>
      <w:pPr>
        <w:pStyle w:val="Normal"/>
        <w:tabs>
          <w:tab w:val="clear" w:pos="708"/>
          <w:tab w:val="left" w:pos="4236" w:leader="none"/>
        </w:tabs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tbl>
      <w:tblPr>
        <w:tblW w:w="10207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567"/>
        <w:gridCol w:w="3402"/>
        <w:gridCol w:w="992"/>
        <w:gridCol w:w="993"/>
        <w:gridCol w:w="882"/>
        <w:gridCol w:w="3371"/>
      </w:tblGrid>
      <w:tr>
        <w:trPr/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zh-CN"/>
              </w:rPr>
              <w:t>Название раздела, темы</w:t>
            </w:r>
          </w:p>
        </w:tc>
        <w:tc>
          <w:tcPr>
            <w:tcW w:w="28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zh-CN"/>
              </w:rPr>
              <w:t>Количество часов</w:t>
            </w:r>
          </w:p>
        </w:tc>
        <w:tc>
          <w:tcPr>
            <w:tcW w:w="3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zh-CN"/>
              </w:rPr>
              <w:t>Формы аттестации / контроля</w:t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3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zh-CN"/>
              </w:rPr>
              <w:t>Теория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zh-CN"/>
              </w:rPr>
              <w:t>Практика</w:t>
            </w:r>
          </w:p>
        </w:tc>
        <w:tc>
          <w:tcPr>
            <w:tcW w:w="33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Информационно-просветительский этап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Зачисление обучающихся на программу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Вводное занятие. Моделирование образа школьного волонтёрского отряда «Рука в руке»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Введение в тему, инструктажи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zh-CN"/>
              </w:rPr>
              <w:t>1. Модуль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 xml:space="preserve">  «Волонтерство в чрезвычайных ситуациях» (волонтерство общественной безопасности)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Самопроверка, рефлексия, аналитика, измеримый результат реализации волонтерских инициатив по данному направлению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zh-CN"/>
              </w:rPr>
              <w:t>2. Модуль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 xml:space="preserve">  «Культурное волонтерство»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Самопроверка, рефлексия, аналитика, измеримый результат реализации волонтерских инициатив по данному направлению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zh-CN"/>
              </w:rPr>
              <w:t>3. Модуль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 xml:space="preserve"> «Медиаволонтерство»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Самопроверка, рефлексия, аналитика, измеримый результат реализации волонтерских инициатив по данному направлению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spacing w:val="-1"/>
                <w:sz w:val="24"/>
                <w:szCs w:val="24"/>
                <w:lang w:eastAsia="zh-CN"/>
              </w:rPr>
              <w:t>4. Модуль</w:t>
            </w:r>
            <w:r>
              <w:rPr>
                <w:rFonts w:eastAsia="Times New Roman" w:cs="Times New Roman" w:ascii="Times New Roman" w:hAnsi="Times New Roman"/>
                <w:spacing w:val="-1"/>
                <w:sz w:val="24"/>
                <w:szCs w:val="24"/>
                <w:lang w:eastAsia="zh-CN"/>
              </w:rPr>
              <w:t xml:space="preserve"> «Медицинское волонтерство»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Самопроверка, рефлексия, аналитика, измеримый результат реализации волонтерских инициатив по данному направлению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5. Модуль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«Образовательное волонтерство»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Самопроверка, рефлексия, аналитика, измеримый результат реализации волонтерских инициатив по данному направлению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zh-CN"/>
              </w:rPr>
              <w:t>6. Модуль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 xml:space="preserve"> «Патриотическое волонтерство»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Самопроверка, рефлексия, аналитика, измеримый результат реализации волонтерских инициатив по данному направлению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zh-CN"/>
              </w:rPr>
              <w:t>7. Модуль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 xml:space="preserve"> «Событийное волонтерство»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Самопроверка, рефлексия, аналитика, измеримый результат реализации волонтерских инициатив по данному направлению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spacing w:val="-1"/>
                <w:sz w:val="24"/>
                <w:szCs w:val="24"/>
                <w:lang w:eastAsia="zh-CN"/>
              </w:rPr>
              <w:t>8. Модуль</w:t>
            </w:r>
            <w:r>
              <w:rPr>
                <w:rFonts w:eastAsia="Times New Roman" w:cs="Times New Roman" w:ascii="Times New Roman" w:hAnsi="Times New Roman"/>
                <w:spacing w:val="-1"/>
                <w:sz w:val="24"/>
                <w:szCs w:val="24"/>
                <w:lang w:eastAsia="zh-CN"/>
              </w:rPr>
              <w:t xml:space="preserve"> «Социальное волонтерство»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Самопроверка, рефлексия, аналитика, измеримый результат реализации волонтерских инициатив по данному направлению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spacing w:val="-1"/>
                <w:sz w:val="24"/>
                <w:szCs w:val="24"/>
                <w:lang w:eastAsia="zh-CN"/>
              </w:rPr>
              <w:t>9. Модуль</w:t>
            </w:r>
            <w:r>
              <w:rPr>
                <w:rFonts w:eastAsia="Times New Roman" w:cs="Times New Roman" w:ascii="Times New Roman" w:hAnsi="Times New Roman"/>
                <w:spacing w:val="-1"/>
                <w:sz w:val="24"/>
                <w:szCs w:val="24"/>
                <w:lang w:eastAsia="zh-CN"/>
              </w:rPr>
              <w:t xml:space="preserve"> «Экологическое волонтерство»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Самопроверка, рефлексия, аналитика, измеримый результат реализации волонтерских инициатив по данному направлению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spacing w:val="-1"/>
                <w:sz w:val="24"/>
                <w:szCs w:val="24"/>
                <w:lang w:eastAsia="zh-CN"/>
              </w:rPr>
              <w:t>10. Модуль</w:t>
            </w:r>
            <w:r>
              <w:rPr>
                <w:rFonts w:eastAsia="Times New Roman" w:cs="Times New Roman" w:ascii="Times New Roman" w:hAnsi="Times New Roman"/>
                <w:spacing w:val="-1"/>
                <w:sz w:val="24"/>
                <w:szCs w:val="24"/>
                <w:lang w:eastAsia="zh-CN"/>
              </w:rPr>
              <w:t xml:space="preserve"> «Инклюзивное, семейное, серебряное, корпоративное волонтерство»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Вариативный модуль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Практическая деятельность по организации добровольческой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Самопроверка, рефлексия, аналитика, измеримый результат реализации волонтерских инициатив по данному направлению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pacing w:val="-1"/>
                <w:sz w:val="24"/>
                <w:szCs w:val="24"/>
                <w:lang w:eastAsia="zh-CN"/>
              </w:rPr>
              <w:t>Конкурсная деятельность обучающихся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Результаты участия в конкурсах</w:t>
            </w:r>
          </w:p>
        </w:tc>
      </w:tr>
      <w:tr>
        <w:trPr/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right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zh-CN"/>
              </w:rPr>
              <w:t>68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zh-CN"/>
        </w:rPr>
        <w:t xml:space="preserve">Содержание учебного плана. Стартовый уровень \ 1 год обучения </w:t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Cs/>
          <w:i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 xml:space="preserve">Информационно-просветительский этап. </w:t>
      </w:r>
      <w:r>
        <w:rPr>
          <w:rFonts w:eastAsia="Times New Roman" w:cs="Times New Roman" w:ascii="Times New Roman" w:hAnsi="Times New Roman"/>
          <w:bCs/>
          <w:i/>
          <w:sz w:val="24"/>
          <w:szCs w:val="24"/>
          <w:lang w:eastAsia="zh-CN"/>
        </w:rPr>
        <w:t>Приглашение обучающихся к занятиям в школьном отряде добровольцев. Оформление информационных стендов. Рекламные посты в школьном паблике. Запись обучающихся в школьный отряд (отряды) добровольцев.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i/>
          <w:spacing w:val="-4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 xml:space="preserve">Вводное занятие. </w:t>
      </w:r>
      <w:r>
        <w:rPr>
          <w:rFonts w:eastAsia="Times New Roman" w:cs="Times New Roman" w:ascii="Times New Roman" w:hAnsi="Times New Roman"/>
          <w:i/>
          <w:spacing w:val="-4"/>
          <w:sz w:val="24"/>
          <w:szCs w:val="24"/>
          <w:lang w:eastAsia="zh-CN"/>
        </w:rPr>
        <w:t>Знакомство с программой Волонт</w:t>
      </w:r>
      <w:bookmarkStart w:id="1" w:name="_GoBack"/>
      <w:bookmarkEnd w:id="1"/>
      <w:r>
        <w:rPr>
          <w:rFonts w:eastAsia="Times New Roman" w:cs="Times New Roman" w:ascii="Times New Roman" w:hAnsi="Times New Roman"/>
          <w:i/>
          <w:spacing w:val="-4"/>
          <w:sz w:val="24"/>
          <w:szCs w:val="24"/>
          <w:lang w:eastAsia="zh-CN"/>
        </w:rPr>
        <w:t xml:space="preserve">ёрский отряд «Рука в руке», краткий обзор направлений. Моделирование образа отряда добровольцев.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u w:val="single"/>
          <w:lang w:eastAsia="zh-CN"/>
        </w:rPr>
        <w:t>Теория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zh-CN"/>
        </w:rPr>
        <w:t xml:space="preserve">. Добровольчество – как вид социально – значимой деятельности и образ жизни человека. Добровольчество как стиль жизни. Образ добровольца. Обзор направлений добровольческой работы.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u w:val="single"/>
          <w:lang w:eastAsia="zh-CN"/>
        </w:rPr>
        <w:t>Практика.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zh-CN"/>
        </w:rPr>
        <w:t xml:space="preserve"> Знакомство с обучающимися. Инструктаж по технике безопасности. Обратная связь. Выбор формата работы отряда НА ОСНОВЕ ПРЕДПОЧТЕНИЙ ДЕТЕЙ И ОБРАТНОЙ СВЯЗИ. Выбор названия отряда, разработка символики отряда. Регистрация участников в Движении Первых.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1 Модуль:«Волонтерство в чрезвычайных ситуациях» (волонтерство общественной безопасности)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Теория.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Прохождение участниками информационно-просветительского блока на платформе Движения Первых. Стартовые знания о волонтерстве в ЧС.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>Практика: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 систематическая организация линеек безопасности и переменок безопасности в течение года согласно Календаря сезонных рисков, акции, посвященные профилактике ЧС и формированию осознанного внимания к общественной безопасности, пополнение информационных уголков школы профилактической информацией, иные проекты по выбранному направлению.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2</w:t>
        <w:tab/>
        <w:t>Модуль: «Культурное волонтерство».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Теория.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Прохождение участниками информационно-просветительского блока на платформе Движения Первых. Стартовые знания о деятельности Волонтеров Культуры.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>Практика.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 Организация волонтерских проектов и акций в выбранном направлении. Реализация мероприятий данного направления, закрепленных на платформе проекта «БлагоТвори» и в Календаре Первых.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3</w:t>
        <w:tab/>
        <w:t>Модуль: «Медиаволонтерство»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Теория.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Прохождение участниками информационно-просветительского блока на платформе Движения Первых. Стартовые знания о деятельности КиберВолонтеров.  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>Практика.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Организация волонтерских проектов и акций в выбранном направлении. Реализация мероприятий данного направления, закрепленных на платформе проекта «БлагоТвори» и в Календаре Первых.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Содействие освещению Дней единых действий в школьных пабликах и на своих страницах в ВКонтакте: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- 30 сентября, День воссоединения новых регионов с Россией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- 1 октября, день пожилых людей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- 5 октября, День учителя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- 19 октября, День Отца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- 4 ноября, День народного единства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- 30 ноября, День матери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4</w:t>
        <w:tab/>
        <w:t>Модуль «Медицинское волонтерство».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Теория.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Прохождение участниками информационно-просветительского блока на платформе Движения Первых. Стартовые знания о деятельности Волонтеров Медиков.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Практика.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Организация волонтерских проектов и акций в выбранном направлении. Реализация мероприятий данного направления, закрепленных на платформе проекта «БлагоТвори» и в Календаре Первых.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i/>
          <w:color w:val="000000"/>
          <w:spacing w:val="-1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zh-CN"/>
        </w:rPr>
        <w:t>5</w:t>
        <w:tab/>
        <w:t xml:space="preserve">Модуль «Образовательное волонтерство».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Теория.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Прохождение участниками информационно-просветительского блока на платформе Движения Первых. Стартовые знания о деятельности Волонтеров Науки.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Практика.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Организация волонтерских проектов и акций в выбранном направлении. Реализация мероприятий данного направления, закрепленных на платформе проекта «БлагоТвори» и в Календаре Первых.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CFCFC" w:val="clear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CFCFC" w:val="clear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zh-CN"/>
        </w:rPr>
        <w:t>6</w:t>
        <w:tab/>
        <w:t>Модуль «Патриотическое волонтерство».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Теория.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Прохождение участниками информационно-просветительского блока на платформе Движения Первых. Стартовые знания о деятельности Волонтеров Победы.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Практика.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Организация волонтерских проектов и акций в выбранном направлении. Реализация мероприятий данного направления, закрепленных на платформе проекта «БлагоТвори» и в Календаре Первых.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7</w:t>
        <w:tab/>
        <w:t xml:space="preserve">Модуль «Событийное волонтерство».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Теория.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Прохождение участниками информационно-просветительского блока на платформе Движения Первых. Стартовые знания о деятельности Волонтеров Событий.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Практика.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Организация волонтерских проектов и акций в выбранном направлении. Реализация мероприятий данного направления, закрепленных на платформе проекта «БлагоТвори» и в Календаре Первых.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8</w:t>
        <w:tab/>
        <w:t>Модуль «Социальное волонтерство».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Теория.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Прохождение участниками информационно-просветительского блока на платформе Движения Первых. Стартовые знания о деятельности социальных волонтеров.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Практика.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Организация волонтерских проектов и акций в выбранном направлении. Реализация мероприятий данного направления, закрепленных на платформе проекта «БлагоТвори» и в Календаре Первых.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9</w:t>
        <w:tab/>
        <w:t xml:space="preserve">Модуль «Экологическое волонтерство». 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Теория.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Прохождение участниками информационно-просветительского блока на платформе Движения Первых. Стартовые знания о деятельности ЭКО -волонтеров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.  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Практика.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Организация волонтерских проектов и акций в выбранном направлении. Реализация мероприятий данного направления, закрепленных на платформе проекта «БлагоТвори» и в Календаре Первых.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10</w:t>
        <w:tab/>
        <w:t xml:space="preserve">Модуль ««Инклюзивное, семейное, серебряное, корпоративное волонтерство». 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Теория.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Прохождение участниками информационно-просветительского блока на платформе Движения Первых. Стартовые знания о деятельности волонтеров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.  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Практика.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Организация волонтерских проектов и акций в выбранном направлении. Реализация мероприятий данного направления, закрепленных на платформе проекта «БлагоТвори» и в Календаре Первых.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11</w:t>
        <w:tab/>
        <w:t>Практическая деятельность по организации добровольческой деятельности.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Теория.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Основы планирования воспитательного, добровольческого события. Основы проектной деятельности. Оформление проекта в план работы. способы фиксации результатов.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Практика.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Организация волонтерских проектов и акций. Реализация мероприятий данного направления, закрепленных на платформе проекта «БлагоТвори» и в Календаре Первых.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12</w:t>
        <w:tab/>
        <w:t>Конкурсная деятельность обучающихся.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zh-CN"/>
        </w:rPr>
        <w:t xml:space="preserve">Практика.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Участие в конкурсах различного уровня индивидуально или в составе команды. </w:t>
      </w:r>
    </w:p>
    <w:p>
      <w:pPr>
        <w:pStyle w:val="Normal"/>
        <w:shd w:val="clear" w:color="auto" w:fill="FFFFFF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4.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ПЛАНИРУЕМЫЕ РЕЗУЛЬТАТЫ</w:t>
      </w:r>
    </w:p>
    <w:p>
      <w:pPr>
        <w:pStyle w:val="Normal"/>
        <w:widowControl w:val="false"/>
        <w:spacing w:lineRule="auto" w:line="240" w:before="0" w:after="0"/>
        <w:ind w:left="84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-2"/>
          <w:sz w:val="24"/>
          <w:szCs w:val="24"/>
          <w:u w:val="single"/>
        </w:rPr>
        <w:t>Личностные:</w:t>
      </w:r>
    </w:p>
    <w:p>
      <w:pPr>
        <w:pStyle w:val="Normal"/>
        <w:widowControl w:val="false"/>
        <w:numPr>
          <w:ilvl w:val="0"/>
          <w:numId w:val="15"/>
        </w:numPr>
        <w:tabs>
          <w:tab w:val="clear" w:pos="708"/>
          <w:tab w:val="left" w:pos="1273" w:leader="none"/>
        </w:tabs>
        <w:spacing w:lineRule="auto" w:line="240" w:before="0" w:after="0"/>
        <w:ind w:hanging="424" w:left="127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духовно-нравственное развитие личности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обучающихся;</w:t>
      </w:r>
    </w:p>
    <w:p>
      <w:pPr>
        <w:pStyle w:val="Normal"/>
        <w:widowControl w:val="false"/>
        <w:numPr>
          <w:ilvl w:val="0"/>
          <w:numId w:val="15"/>
        </w:numPr>
        <w:tabs>
          <w:tab w:val="clear" w:pos="708"/>
          <w:tab w:val="left" w:pos="1273" w:leader="none"/>
          <w:tab w:val="left" w:pos="3279" w:leader="none"/>
          <w:tab w:val="left" w:pos="4830" w:leader="none"/>
          <w:tab w:val="left" w:pos="5221" w:leader="none"/>
          <w:tab w:val="left" w:pos="7775" w:leader="none"/>
          <w:tab w:val="left" w:pos="9624" w:leader="none"/>
        </w:tabs>
        <w:spacing w:lineRule="auto" w:line="240" w:before="0" w:after="0"/>
        <w:ind w:firstLine="708" w:left="140" w:right="57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формирование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мотивации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добровольческой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деятельности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и </w:t>
      </w:r>
      <w:r>
        <w:rPr>
          <w:rFonts w:eastAsia="Times New Roman" w:cs="Times New Roman" w:ascii="Times New Roman" w:hAnsi="Times New Roman"/>
          <w:sz w:val="24"/>
          <w:szCs w:val="24"/>
        </w:rPr>
        <w:t>помощи окружающим.</w:t>
      </w:r>
    </w:p>
    <w:p>
      <w:pPr>
        <w:pStyle w:val="Normal"/>
        <w:widowControl w:val="false"/>
        <w:spacing w:lineRule="auto" w:line="240" w:before="0" w:after="0"/>
        <w:ind w:left="84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-2"/>
          <w:sz w:val="24"/>
          <w:szCs w:val="24"/>
          <w:u w:val="single"/>
        </w:rPr>
        <w:t>Предметные:</w:t>
      </w:r>
    </w:p>
    <w:p>
      <w:pPr>
        <w:pStyle w:val="ListParagraph"/>
        <w:widowControl w:val="false"/>
        <w:numPr>
          <w:ilvl w:val="0"/>
          <w:numId w:val="15"/>
        </w:numPr>
        <w:tabs>
          <w:tab w:val="clear" w:pos="708"/>
          <w:tab w:val="left" w:pos="1273" w:leader="none"/>
        </w:tabs>
        <w:spacing w:before="0" w:after="0"/>
        <w:ind w:firstLine="708" w:left="140" w:right="561"/>
        <w:contextualSpacing w:val="false"/>
        <w:jc w:val="both"/>
        <w:rPr/>
      </w:pPr>
      <w:r>
        <w:rPr/>
        <w:t>у обучающихся сформированы представления о доброте как важном качестве</w:t>
      </w:r>
      <w:r>
        <w:rPr>
          <w:spacing w:val="-2"/>
        </w:rPr>
        <w:t>человека;</w:t>
      </w:r>
    </w:p>
    <w:p>
      <w:pPr>
        <w:pStyle w:val="Normal"/>
        <w:widowControl w:val="false"/>
        <w:numPr>
          <w:ilvl w:val="0"/>
          <w:numId w:val="15"/>
        </w:numPr>
        <w:tabs>
          <w:tab w:val="clear" w:pos="708"/>
          <w:tab w:val="left" w:pos="1273" w:leader="none"/>
        </w:tabs>
        <w:spacing w:lineRule="auto" w:line="240" w:before="0" w:after="0"/>
        <w:ind w:firstLine="708" w:left="140" w:right="56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обучающиеся ознакомленысобщественнымфеноменомдобровольчестваиего значением для общества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;</w:t>
      </w:r>
    </w:p>
    <w:p>
      <w:pPr>
        <w:pStyle w:val="ListParagraph"/>
        <w:widowControl w:val="false"/>
        <w:numPr>
          <w:ilvl w:val="0"/>
          <w:numId w:val="15"/>
        </w:numPr>
        <w:tabs>
          <w:tab w:val="clear" w:pos="708"/>
          <w:tab w:val="left" w:pos="1273" w:leader="none"/>
        </w:tabs>
        <w:spacing w:before="0" w:after="0"/>
        <w:ind w:firstLine="708" w:left="140" w:right="575"/>
        <w:contextualSpacing w:val="false"/>
        <w:jc w:val="both"/>
        <w:rPr/>
      </w:pPr>
      <w:r>
        <w:rPr/>
        <w:t>пополнениесловарногозапаса</w:t>
      </w:r>
      <w:r>
        <w:rPr>
          <w:spacing w:val="-2"/>
        </w:rPr>
        <w:t>школьников;</w:t>
      </w:r>
    </w:p>
    <w:p>
      <w:pPr>
        <w:pStyle w:val="ListParagraph"/>
        <w:widowControl w:val="false"/>
        <w:numPr>
          <w:ilvl w:val="0"/>
          <w:numId w:val="15"/>
        </w:numPr>
        <w:tabs>
          <w:tab w:val="clear" w:pos="708"/>
          <w:tab w:val="left" w:pos="1273" w:leader="none"/>
        </w:tabs>
        <w:spacing w:before="0" w:after="0"/>
        <w:ind w:firstLine="708" w:left="140" w:right="575"/>
        <w:contextualSpacing w:val="false"/>
        <w:jc w:val="both"/>
        <w:rPr/>
      </w:pPr>
      <w:r>
        <w:rPr/>
        <w:t xml:space="preserve">формированиеумениясоздаватьтворческийпродуктизподручных </w:t>
      </w:r>
      <w:r>
        <w:rPr>
          <w:spacing w:val="-2"/>
        </w:rPr>
        <w:t>материалов.</w:t>
      </w:r>
    </w:p>
    <w:p>
      <w:pPr>
        <w:pStyle w:val="Normal"/>
        <w:widowControl w:val="false"/>
        <w:spacing w:lineRule="auto" w:line="240" w:before="0" w:after="0"/>
        <w:ind w:left="84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-2"/>
          <w:sz w:val="24"/>
          <w:szCs w:val="24"/>
          <w:u w:val="single"/>
        </w:rPr>
        <w:t>Метапредметные:</w:t>
      </w:r>
    </w:p>
    <w:p>
      <w:pPr>
        <w:pStyle w:val="Normal"/>
        <w:widowControl w:val="false"/>
        <w:numPr>
          <w:ilvl w:val="0"/>
          <w:numId w:val="15"/>
        </w:numPr>
        <w:tabs>
          <w:tab w:val="clear" w:pos="708"/>
          <w:tab w:val="left" w:pos="1273" w:leader="none"/>
        </w:tabs>
        <w:spacing w:lineRule="auto" w:line="240" w:before="0" w:after="0"/>
        <w:ind w:hanging="424" w:left="127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формированиеушкольникованалитическихуменийи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навыков;</w:t>
      </w:r>
    </w:p>
    <w:p>
      <w:pPr>
        <w:pStyle w:val="Normal"/>
        <w:widowControl w:val="false"/>
        <w:numPr>
          <w:ilvl w:val="0"/>
          <w:numId w:val="15"/>
        </w:numPr>
        <w:tabs>
          <w:tab w:val="clear" w:pos="708"/>
          <w:tab w:val="left" w:pos="1272" w:leader="none"/>
        </w:tabs>
        <w:spacing w:lineRule="auto" w:line="240" w:before="0" w:after="0"/>
        <w:ind w:firstLine="708" w:left="140" w:right="56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развитие навыка планирования собственной деятельности в соответствии с поставленной задачей и условиями ее реализации, поиска средств ее осуществления.</w:t>
      </w:r>
    </w:p>
    <w:p>
      <w:pPr>
        <w:pStyle w:val="Normal"/>
        <w:widowControl w:val="false"/>
        <w:tabs>
          <w:tab w:val="clear" w:pos="708"/>
          <w:tab w:val="left" w:pos="1273" w:leader="none"/>
        </w:tabs>
        <w:spacing w:lineRule="auto" w:line="276" w:before="15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zh-CN"/>
        </w:rPr>
        <w:t>5. КОМПЛЕКС ОРГАНИЗАЦИОННО-ПЕДАГОГИЧЕСКИХ УСЛОВИЙ</w:t>
      </w:r>
    </w:p>
    <w:p>
      <w:pPr>
        <w:pStyle w:val="Normal"/>
        <w:spacing w:lineRule="auto" w:line="276" w:before="0" w:after="0"/>
        <w:ind w:firstLine="709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zh-CN"/>
        </w:rPr>
        <w:t xml:space="preserve">5.1.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Календарный учебный график</w:t>
      </w:r>
      <w:bookmarkStart w:id="2" w:name="_Hlk77675540"/>
      <w:r>
        <w:rPr>
          <w:rFonts w:cs="Times New Roman" w:ascii="Times New Roman" w:hAnsi="Times New Roman"/>
          <w:b/>
          <w:sz w:val="24"/>
          <w:szCs w:val="24"/>
        </w:rPr>
        <w:t xml:space="preserve"> на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2025/2026 учебный год</w:t>
      </w:r>
      <w:bookmarkEnd w:id="2"/>
    </w:p>
    <w:p>
      <w:pPr>
        <w:pStyle w:val="Normal"/>
        <w:shd w:val="clear" w:color="auto" w:fill="FFFFFF"/>
        <w:spacing w:lineRule="auto" w:line="240" w:before="23" w:after="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Количество учебных недель: 34 недель</w:t>
      </w:r>
    </w:p>
    <w:p>
      <w:pPr>
        <w:pStyle w:val="Normal"/>
        <w:shd w:val="clear" w:color="auto" w:fill="FFFFFF"/>
        <w:spacing w:lineRule="auto" w:line="240" w:before="0" w:after="0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I полугодие - 16 недель (01.09.202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г. - 30.12.202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г.)</w:t>
      </w:r>
    </w:p>
    <w:p>
      <w:pPr>
        <w:pStyle w:val="Normal"/>
        <w:shd w:val="clear" w:color="auto" w:fill="FFFFFF"/>
        <w:spacing w:lineRule="auto" w:line="240" w:before="0" w:after="0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II полугодие - 18 недель (1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1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.01.202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7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 г. – 26.05.202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7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 г.)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76" w:before="0" w:after="0"/>
        <w:ind w:firstLine="709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zh-CN"/>
        </w:rPr>
        <w:t xml:space="preserve">5.2. Условия реализации </w:t>
      </w:r>
    </w:p>
    <w:p>
      <w:pPr>
        <w:pStyle w:val="Normal"/>
        <w:spacing w:lineRule="auto" w:line="276" w:before="0" w:after="0"/>
        <w:ind w:firstLine="709"/>
        <w:contextualSpacing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76" w:before="0" w:after="0"/>
        <w:ind w:firstLine="709"/>
        <w:contextualSpacing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Материально-техническое обеспечение</w:t>
      </w:r>
    </w:p>
    <w:p>
      <w:pPr>
        <w:pStyle w:val="Normal"/>
        <w:spacing w:lineRule="auto" w:line="276" w:before="0" w:after="0"/>
        <w:ind w:firstLine="709"/>
        <w:contextualSpacing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кабинет, оборудованный мебелью (столами, стульями);</w:t>
      </w:r>
    </w:p>
    <w:p>
      <w:pPr>
        <w:pStyle w:val="Normal"/>
        <w:spacing w:lineRule="auto" w:line="276" w:before="0" w:after="0"/>
        <w:ind w:firstLine="709"/>
        <w:contextualSpacing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компьютеры с выходом в Интернет;</w:t>
      </w:r>
    </w:p>
    <w:p>
      <w:pPr>
        <w:pStyle w:val="Normal"/>
        <w:spacing w:lineRule="auto" w:line="276" w:before="0" w:after="0"/>
        <w:ind w:firstLine="709"/>
        <w:contextualSpacing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телефоны с камерой;</w:t>
      </w:r>
    </w:p>
    <w:p>
      <w:pPr>
        <w:pStyle w:val="Normal"/>
        <w:spacing w:lineRule="auto" w:line="276" w:before="0" w:after="0"/>
        <w:ind w:firstLine="709"/>
        <w:contextualSpacing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светоустановка;</w:t>
      </w:r>
    </w:p>
    <w:p>
      <w:pPr>
        <w:pStyle w:val="Normal"/>
        <w:spacing w:lineRule="auto" w:line="276" w:before="0" w:after="0"/>
        <w:ind w:firstLine="709"/>
        <w:contextualSpacing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микрофоны – петлички;</w:t>
      </w:r>
    </w:p>
    <w:p>
      <w:pPr>
        <w:pStyle w:val="Normal"/>
        <w:spacing w:lineRule="auto" w:line="276" w:before="0" w:after="0"/>
        <w:ind w:firstLine="709"/>
        <w:contextualSpacing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блокноты, ручки.</w:t>
      </w:r>
    </w:p>
    <w:p>
      <w:pPr>
        <w:pStyle w:val="Normal"/>
        <w:spacing w:lineRule="auto" w:line="276" w:before="0" w:after="0"/>
        <w:ind w:firstLine="709"/>
        <w:contextualSpacing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76" w:before="0" w:after="0"/>
        <w:ind w:firstLine="709"/>
        <w:contextualSpacing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>Кадровое обеспечение</w:t>
      </w:r>
    </w:p>
    <w:p>
      <w:pPr>
        <w:pStyle w:val="Normal"/>
        <w:spacing w:lineRule="auto" w:line="276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педагог дополнительного образования.</w:t>
      </w:r>
    </w:p>
    <w:p>
      <w:pPr>
        <w:pStyle w:val="Normal"/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 xml:space="preserve">6. ФОРМЫ АТТЕСТАЦИИ / КОНТРОЛЯ  </w:t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>И ОЦЕНОЧНЫЕ МАТЕРИАЛЫ</w:t>
      </w:r>
    </w:p>
    <w:p>
      <w:pPr>
        <w:pStyle w:val="Normal"/>
        <w:spacing w:lineRule="auto" w:line="276" w:before="0" w:after="0"/>
        <w:ind w:firstLine="709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6.Оценочные материалы</w:t>
      </w:r>
    </w:p>
    <w:p>
      <w:pPr>
        <w:pStyle w:val="Normal"/>
        <w:spacing w:lineRule="auto" w:line="276" w:before="0" w:after="0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</w:r>
    </w:p>
    <w:tbl>
      <w:tblPr>
        <w:tblW w:w="10490" w:type="dxa"/>
        <w:jc w:val="left"/>
        <w:tblInd w:w="-543" w:type="dxa"/>
        <w:tblLayout w:type="fixed"/>
        <w:tblCellMar>
          <w:top w:w="0" w:type="dxa"/>
          <w:left w:w="166" w:type="dxa"/>
          <w:bottom w:w="0" w:type="dxa"/>
          <w:right w:w="114" w:type="dxa"/>
        </w:tblCellMar>
        <w:tblLook w:val="04a0" w:firstRow="1" w:noVBand="1" w:lastRow="0" w:firstColumn="1" w:lastColumn="0" w:noHBand="0"/>
      </w:tblPr>
      <w:tblGrid>
        <w:gridCol w:w="1559"/>
        <w:gridCol w:w="2598"/>
        <w:gridCol w:w="2221"/>
        <w:gridCol w:w="1985"/>
        <w:gridCol w:w="2127"/>
      </w:tblGrid>
      <w:tr>
        <w:trPr>
          <w:trHeight w:val="1243" w:hRule="atLeast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</w:r>
          </w:p>
        </w:tc>
        <w:tc>
          <w:tcPr>
            <w:tcW w:w="2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zh-CN"/>
              </w:rPr>
              <w:t>Планируемые  результаты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zh-CN"/>
              </w:rPr>
              <w:t>Критерии оценивания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zh-CN"/>
              </w:rPr>
              <w:t>Виды контроля / промежуточной аттестации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zh-CN"/>
              </w:rPr>
              <w:t>Диагностический инструментарий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zh-CN"/>
              </w:rPr>
              <w:t>(формы, методы, диагностики)</w:t>
            </w:r>
          </w:p>
        </w:tc>
      </w:tr>
      <w:tr>
        <w:trPr>
          <w:trHeight w:val="843" w:hRule="atLeast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Личностные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результаты</w:t>
            </w:r>
          </w:p>
        </w:tc>
        <w:tc>
          <w:tcPr>
            <w:tcW w:w="2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1.Развита в достаточной степени познавательная активность, внутренняя мотивация к освоению материала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2.Развиты рефлексивные навыки, стремление к личностному росту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3.Сформировано уважение к малой родине и готовность находить и транслировать позитивные инфоповоды в информационную среду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1.Содержательность авторских материалов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2.Оригинальность авторских материалов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3.Логичность изложения материала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4.Выразительность изложения материала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1.Самооценка;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2. Медиа-зачет;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3.Конкурсная активность обучающегося;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1.Рейтинг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2.Таблица самооценки;</w:t>
            </w:r>
          </w:p>
        </w:tc>
      </w:tr>
      <w:tr>
        <w:trPr>
          <w:trHeight w:val="1410" w:hRule="atLeast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Метапредмет-ные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результаты</w:t>
            </w:r>
          </w:p>
        </w:tc>
        <w:tc>
          <w:tcPr>
            <w:tcW w:w="2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1.сформировано умение планировать свою деятельность, контролировать и оценивать свои действия;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2.наблюдается способность принимать и сохранять учебную цель, осуществлять информационный поиск;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3.Умение коммуницировать в разных условиях,взаимодействовать со взрослыми и сверстниками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1.Содержательность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2.Оригинальность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3.Логичность</w:t>
            </w:r>
          </w:p>
          <w:p>
            <w:pPr>
              <w:pStyle w:val="Normal"/>
              <w:spacing w:lineRule="auto" w:line="276" w:before="0" w:after="0"/>
              <w:ind w:right="-114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4.Выразительность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5.Информационный охват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6.Соответствие заявленной тематике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7.Соблюдение технических требований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8.Командная работа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1.Самооценка;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2. Медиа-зачет;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3.Конкурсная активность обучающегося;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1.Рейтинг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2.Таблица самооценки;</w:t>
            </w:r>
          </w:p>
        </w:tc>
      </w:tr>
      <w:tr>
        <w:trPr>
          <w:trHeight w:val="843" w:hRule="atLeast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Предметные результаты</w:t>
            </w:r>
          </w:p>
        </w:tc>
        <w:tc>
          <w:tcPr>
            <w:tcW w:w="2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hd w:val="clear" w:color="auto" w:fill="FFFFFF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1.Обучающиеся получили достаточный объем  знаний о медиа – сфере.</w:t>
            </w:r>
          </w:p>
          <w:p>
            <w:pPr>
              <w:pStyle w:val="Normal"/>
              <w:shd w:val="clear" w:color="auto" w:fill="FFFFFF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 Созданы условия для закрепления опыта применения знаний в конкретной деятельности;</w:t>
            </w:r>
          </w:p>
          <w:p>
            <w:pPr>
              <w:pStyle w:val="Normal"/>
              <w:shd w:val="clear" w:color="auto" w:fill="FFFFFF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3.Созданы условия для развития исследовательского типа мышления, творческих способностей и критического мышления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1.Содержательность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2.Оригинальность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3.Логичность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4.Выразительность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5.Информационный охват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6.Соответствие заявленной тематике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7.Соблюдение технических требований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8.Командная работа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1.Самооценка;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2. Медиа-зачет;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3.Конкурсная активность обучающегося;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1.Рейтинг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2.Таблица самооценки;</w:t>
            </w:r>
          </w:p>
        </w:tc>
      </w:tr>
    </w:tbl>
    <w:p>
      <w:pPr>
        <w:pStyle w:val="Normal"/>
        <w:spacing w:lineRule="auto" w:line="276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7. СПИСОК ЛИТЕРАТУРЫ</w:t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1.</w:t>
        <w:tab/>
        <w:t>Бедердинова М.В., Бессонова А.В. Конспект занятия «Мы – добрые волшебники». – Череповец, 2017: https://rosuchebnik.ru/material/konspekt- zanyatiya-my-dobrye-volshebniki-16812/.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2.</w:t>
        <w:tab/>
        <w:t>Благотворительность в России и государственная политика. / С.С. Сулакшин, Д.В. Бачурина, М.В. Вилисов, Г.Г. Каримова, И.Р. Киш, О.В. Куропаткина, Л.А. Макурина, А.С. Сулакшина. – М.: Научный эксперт, 2013.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3.</w:t>
        <w:tab/>
        <w:t>Исторические аспекты законодательного регулирования деятельности российских благотворительных организаций. // Интернет-журнал «Меценат», http://www.maecenas.ru/doc/2005_3_15.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4.</w:t>
        <w:tab/>
        <w:t xml:space="preserve">История волонтерского движения в России. // ТАСС, </w:t>
      </w:r>
      <w:hyperlink r:id="rId2" w:tooltip="https://tass.ru/info/5870697"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lang w:eastAsia="zh-CN"/>
          </w:rPr>
          <w:t>https://tass.ru/info/5870697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5.</w:t>
        <w:tab/>
        <w:t>Локтионова Т.А. История возникновения и становления волонтерства в России. // Молодой ученый. – 2012. – №8. – С. 267-269.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6.</w:t>
        <w:tab/>
        <w:t>Методические</w:t>
        <w:tab/>
        <w:t>рекомендации</w:t>
        <w:tab/>
        <w:t>по</w:t>
        <w:tab/>
        <w:t>направлению</w:t>
        <w:tab/>
        <w:t>деятельности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«Гражданская активность» / Арсеньева Т.Н., Загладина Х.Т., Коршунов А.В., Менников В.Е. – М.: МПГУ, 2016.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7.</w:t>
        <w:tab/>
        <w:t>Методические рекомендации по организации и проведению тематических уроков согласно Календарю образовательных событий, приуроченных к государственным и национальным праздникам Российской Федерации, памятным датам и событиям российской истории и культуры. Год добровольца  (волонтера)  в  Российской  Федерации  (2018  год).  / А.К. Крупченко. – М.: ФГАОУ ДПО ЦРГОП и ИТ, 2018.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8.</w:t>
        <w:tab/>
        <w:t>Методическое пособие «Волонтерское (добровольческое) движение в общеобразовательной организации. // Ассоциация волонтерских центров URL: http://авц.рф/media-files/documents/в школе.pdf.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9.</w:t>
        <w:tab/>
        <w:t>Луо Энни, Бутенко В., Полунин К. Новый взгляд на образование: раскрывая потенциал образовательных технологий // Образовательная политика. – 2015. – № 2 (68). – С 72-109.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>Интернет-источники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10. https://обучение.добровольцыроссии.рф/: Добровольцы России.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11. https://goo-gl.ru/5Fjn: «Форум Добровольцы России».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>8. ПРИЛОЖЕНИЯ</w:t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jc w:val="right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>Приложение 1</w:t>
      </w:r>
    </w:p>
    <w:p>
      <w:pPr>
        <w:pStyle w:val="Normal"/>
        <w:spacing w:lineRule="auto" w:line="276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pacing w:lineRule="auto" w:line="276" w:before="0" w:after="0"/>
        <w:ind w:firstLine="709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 xml:space="preserve">Основные понятия и термины: </w:t>
      </w:r>
    </w:p>
    <w:p>
      <w:pPr>
        <w:pStyle w:val="Normal"/>
        <w:widowControl w:val="false"/>
        <w:spacing w:lineRule="auto" w:line="360" w:before="157" w:after="0"/>
        <w:ind w:firstLine="708" w:left="140" w:right="56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Альтруизм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бескорыстная забота о благополучии других, готовность ставить их интересы выше своих собственных; одна из главных характерных черт благотворительной и добровольческой деятельности.</w:t>
      </w:r>
    </w:p>
    <w:p>
      <w:pPr>
        <w:pStyle w:val="Normal"/>
        <w:widowControl w:val="false"/>
        <w:spacing w:lineRule="auto" w:line="362" w:before="0" w:after="0"/>
        <w:ind w:firstLine="708" w:left="140" w:right="565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Безвозмездная деятельность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деятельность, осуществляемая без выплаты вознаграждения в любой материальной форме.</w:t>
      </w:r>
    </w:p>
    <w:p>
      <w:pPr>
        <w:pStyle w:val="Normal"/>
        <w:widowControl w:val="false"/>
        <w:spacing w:lineRule="exact" w:line="317" w:before="0" w:after="0"/>
        <w:ind w:left="84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Бескорыстие</w:t>
      </w:r>
      <w:r>
        <w:rPr>
          <w:rFonts w:eastAsia="Times New Roman" w:cs="Times New Roman" w:ascii="Times New Roman" w:hAnsi="Times New Roman"/>
          <w:sz w:val="24"/>
          <w:szCs w:val="24"/>
        </w:rPr>
        <w:t>–отсутствиестремлениякличной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выгоде.</w:t>
      </w:r>
    </w:p>
    <w:p>
      <w:pPr>
        <w:pStyle w:val="Normal"/>
        <w:widowControl w:val="false"/>
        <w:spacing w:lineRule="auto" w:line="360" w:before="89" w:after="0"/>
        <w:ind w:firstLine="708" w:left="140" w:right="56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Благополучатели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граждане и юридические лица, получающие благотворительные пожертвования от благотворителей, помощь добровольцев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(волонтеров).</w:t>
      </w:r>
    </w:p>
    <w:p>
      <w:pPr>
        <w:pStyle w:val="Normal"/>
        <w:widowControl w:val="false"/>
        <w:spacing w:lineRule="auto" w:line="360" w:before="1" w:after="0"/>
        <w:ind w:firstLine="708" w:left="140" w:right="56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Благотворители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граждане и юридические лица, осуществляющие благотворительныепожертвованиявформебезвозмезднойпередачив собственность или предоставления в пользование благополучателям имущества, выделения им денежных средств, а также бескорыстного выполнения на благо нуждающихся лиц работ или предоставления им услуг.</w:t>
      </w:r>
    </w:p>
    <w:p>
      <w:pPr>
        <w:pStyle w:val="Normal"/>
        <w:widowControl w:val="false"/>
        <w:spacing w:lineRule="auto" w:line="360" w:before="0" w:after="0"/>
        <w:ind w:firstLine="708" w:left="140" w:right="56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Благотворительная деятельность, благотворительность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добровольная деятельность гражданиюридических лицпобескорыстной(безвозмездной или на льготных условиях) передаче гражданам или юридическим лицам имущества, в том числе денежных средств, бескорыстному выполнению работ, предоставлению услуг, оказанию иной поддержки.</w:t>
      </w:r>
    </w:p>
    <w:p>
      <w:pPr>
        <w:pStyle w:val="Normal"/>
        <w:widowControl w:val="false"/>
        <w:tabs>
          <w:tab w:val="clear" w:pos="708"/>
          <w:tab w:val="left" w:pos="3957" w:leader="none"/>
          <w:tab w:val="left" w:pos="6269" w:leader="none"/>
          <w:tab w:val="left" w:pos="7238" w:leader="none"/>
        </w:tabs>
        <w:spacing w:lineRule="auto" w:line="360" w:before="2" w:after="0"/>
        <w:ind w:firstLine="708" w:left="140" w:right="565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-2"/>
          <w:sz w:val="24"/>
          <w:szCs w:val="24"/>
          <w:u w:val="single"/>
        </w:rPr>
        <w:t>Благотворительная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rFonts w:eastAsia="Times New Roman" w:cs="Times New Roman" w:ascii="Times New Roman" w:hAnsi="Times New Roman"/>
          <w:spacing w:val="-2"/>
          <w:sz w:val="24"/>
          <w:szCs w:val="24"/>
          <w:u w:val="single"/>
        </w:rPr>
        <w:t>организация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-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неправительственная </w:t>
      </w:r>
      <w:r>
        <w:rPr>
          <w:rFonts w:eastAsia="Times New Roman" w:cs="Times New Roman" w:ascii="Times New Roman" w:hAnsi="Times New Roman"/>
          <w:sz w:val="24"/>
          <w:szCs w:val="24"/>
        </w:rPr>
        <w:t>(негосударственная и немуниципальная) некоммерческая организация, созданная для реализации благотворительных целей путем осуществления благотворительной деятельности в интересах общества в целом или отдельных категорий лиц.</w:t>
      </w:r>
    </w:p>
    <w:p>
      <w:pPr>
        <w:pStyle w:val="Normal"/>
        <w:widowControl w:val="false"/>
        <w:spacing w:lineRule="auto" w:line="360" w:before="0" w:after="0"/>
        <w:ind w:firstLine="708" w:left="140" w:right="56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Благотворительная программа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комплекс мероприятий, направленныхна решение социальных проблем и (или) помощь нуждающимся лицам, осуществляемых за счет средств благотворительных пожертвований либо иной финансовой деятельности благотворительной организации.</w:t>
      </w:r>
    </w:p>
    <w:p>
      <w:pPr>
        <w:pStyle w:val="Normal"/>
        <w:widowControl w:val="false"/>
        <w:spacing w:lineRule="auto" w:line="360" w:before="0" w:after="0"/>
        <w:ind w:firstLine="708" w:left="140" w:right="56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Гуманизм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мировоззрение, признающее ценность человека как личности, его право на свободу, счастье, развитие и проявление своих способностей, считающее благо человека критерием оценки социальных институтов, а принципы равенства, справедливости, человечности желаемой нормой отношений между людьми.</w:t>
      </w:r>
    </w:p>
    <w:p>
      <w:pPr>
        <w:pStyle w:val="Normal"/>
        <w:widowControl w:val="false"/>
        <w:spacing w:lineRule="auto" w:line="360" w:before="0" w:after="0"/>
        <w:ind w:firstLine="708" w:left="140" w:right="56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Добровольческая (волонтерская) деятельность</w:t>
      </w:r>
      <w:r>
        <w:rPr>
          <w:rFonts w:eastAsia="Times New Roman" w:cs="Times New Roman" w:ascii="Times New Roman" w:hAnsi="Times New Roman"/>
          <w:sz w:val="24"/>
          <w:szCs w:val="24"/>
        </w:rPr>
        <w:t>, добровольчество (волонтерство) – форма бескорыстного социального служения, добровольнаясоциально направленная, общественно полезная деятельность, осуществляемаяпутем личного выполнения работ, оказания услуг без получения денежного или материального вознаграждения (кроме случаев возможного возмещения, связанных с осуществлением добровольческой деятельности затрат).</w:t>
      </w:r>
    </w:p>
    <w:p>
      <w:pPr>
        <w:pStyle w:val="Normal"/>
        <w:widowControl w:val="false"/>
        <w:spacing w:lineRule="auto" w:line="360" w:before="0" w:after="0"/>
        <w:ind w:firstLine="708" w:left="140" w:right="56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Добровольческая (волонтерская) организация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социально ориентированная некоммерческая организация (или незарегистрированное объединение граждан, созданное автономно либо на базе какой-либо организации, в том числе в рамках программ корпоративного волонтерства), системно привлекающая волонтеров к участию в добровольческой деятельности различных направлений и форм, а также осуществляющаяруководство их деятельностью в процессе такого участия</w:t>
      </w:r>
    </w:p>
    <w:p>
      <w:pPr>
        <w:pStyle w:val="Normal"/>
        <w:widowControl w:val="false"/>
        <w:spacing w:lineRule="auto" w:line="360" w:before="2" w:after="0"/>
        <w:ind w:firstLine="708" w:left="140" w:right="565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Доброволец (волонтер)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физическое лицо, осуществляющее добровольную социально направленную, общественно полезную деятельность без получения денежного или материального вознаграждения (кроме случаев предоставления сервисов и возмещения, связанных с осуществлением добровольческой деятельности затрат).</w:t>
      </w:r>
    </w:p>
    <w:p>
      <w:pPr>
        <w:pStyle w:val="Normal"/>
        <w:widowControl w:val="false"/>
        <w:spacing w:lineRule="auto" w:line="360" w:before="2" w:after="0"/>
        <w:ind w:firstLine="708" w:left="140" w:right="565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Добровольный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совершаемый или действующий по собственному желанию, без принуждения.</w:t>
      </w:r>
    </w:p>
    <w:p>
      <w:pPr>
        <w:pStyle w:val="Normal"/>
        <w:widowControl w:val="false"/>
        <w:spacing w:lineRule="auto" w:line="362" w:before="0" w:after="0"/>
        <w:ind w:firstLine="708" w:left="140" w:right="56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Милосердие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готовность оказать помощь из чувства человеколюбия, сострадания; а также сама помощь, вызванная такими чувствами.</w:t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Мораль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принятые в обществе представления о хорошем и плохом, правильном и неправильном, добре и зле, а также совокупность норм поведения, вытекающих из этих представлений.</w:t>
      </w:r>
    </w:p>
    <w:p>
      <w:pPr>
        <w:pStyle w:val="Normal"/>
        <w:widowControl w:val="false"/>
        <w:spacing w:lineRule="auto" w:line="360" w:before="0" w:after="0"/>
        <w:ind w:firstLine="708" w:left="140" w:right="56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Нравственность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внутренние духовные и душевные качества человека, основанные на идеалах добра, справедливости, долга, чести, которые проявляются в отношении к людям и к природе, а также нормы и правила поведения, основывающиеся на таких качествах.</w:t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Нуждающиеся лица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лица, которые не в состоянии удовлетворить собственнымисиламинеобходимыематериальныеидуховныепотребностиикоторымтребуетсядополнительнаяподдержкадляустранениясоциальных и экономических дефицитов.</w:t>
      </w:r>
    </w:p>
    <w:p>
      <w:pPr>
        <w:pStyle w:val="Normal"/>
        <w:widowControl w:val="false"/>
        <w:spacing w:lineRule="auto" w:line="360" w:before="89" w:after="0"/>
        <w:ind w:firstLine="708" w:left="140" w:right="565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Общественная польза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положительный результат деятельности, значимый для развития и процветания общества в целом, суммарный эффект которого удовлетворяет интересам большинства его членов.</w:t>
      </w:r>
    </w:p>
    <w:p>
      <w:pPr>
        <w:pStyle w:val="Normal"/>
        <w:widowControl w:val="false"/>
        <w:spacing w:lineRule="auto" w:line="360" w:before="1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Отзывчивость</w:t>
      </w:r>
      <w:r>
        <w:rPr>
          <w:rFonts w:eastAsia="Times New Roman" w:cs="Times New Roman" w:ascii="Times New Roman" w:hAnsi="Times New Roman"/>
          <w:sz w:val="24"/>
          <w:szCs w:val="24"/>
        </w:rPr>
        <w:t>–умение откликаться на просьбы и оказывать помощь и моральную поддержку другим людям в нужный момент, сопереживать им.</w:t>
      </w:r>
    </w:p>
    <w:p>
      <w:pPr>
        <w:pStyle w:val="Normal"/>
        <w:widowControl w:val="false"/>
        <w:spacing w:lineRule="auto" w:line="360" w:before="1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Сбор благотворительных пожертвований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любое прямое или косвенное обращение за деньгами, имуществом, добровольными услугами или другими ценностями, предоставляемыми немедленно или с отсрочкой, при условии, что они будут использованы для благотворительных целей.</w:t>
      </w:r>
    </w:p>
    <w:p>
      <w:pPr>
        <w:pStyle w:val="Normal"/>
        <w:widowControl w:val="false"/>
        <w:spacing w:lineRule="auto" w:line="360" w:before="1" w:after="0"/>
        <w:ind w:firstLine="708" w:left="140" w:right="56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Сострадание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жалость, сочувствие, вызываемое чужим несчастьем, способность поставить себя на место другого человека, полностью прочувствовать его переживания.</w:t>
      </w:r>
    </w:p>
    <w:p>
      <w:pPr>
        <w:pStyle w:val="Normal"/>
        <w:widowControl w:val="false"/>
        <w:spacing w:lineRule="auto" w:line="362" w:before="0" w:after="0"/>
        <w:ind w:firstLine="708" w:left="140" w:right="56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Социальная значимость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позитивное воздействие осуществляемой деятельности на ход событий в обществе.</w:t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Трудная жизненная ситуация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ситуация, объективно нарушающая жизнедеятельность гражданина (инвалидность, неспособность к самообслуживанию в связи с преклонным возрастом, болезнью, сиротство, безнадзорность, малообеспеченность, безработица, отсутствие определенного места жительства, конфликты и жестокое обращение в семье, одиночество и тому подобное), которую он не может преодолеть самостоятельно.</w:t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Приложение 2</w:t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Основные субъекты добровольческой деятельности в Российской Федерации:</w:t>
      </w:r>
    </w:p>
    <w:p>
      <w:pPr>
        <w:pStyle w:val="Normal"/>
        <w:widowControl w:val="false"/>
        <w:spacing w:lineRule="auto" w:line="360" w:before="0" w:after="0"/>
        <w:ind w:firstLine="708" w:left="140" w:right="56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Ассоциация волонтерских центров (АВЦ)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крупнейшая волонтерская организация России, реализующая системные программы по развитию добровольческого движения во всех его формах и проявлениях.</w:t>
      </w:r>
    </w:p>
    <w:p>
      <w:pPr>
        <w:pStyle w:val="Normal"/>
        <w:widowControl w:val="false"/>
        <w:spacing w:lineRule="auto" w:line="360" w:before="0" w:after="0"/>
        <w:ind w:firstLine="708" w:left="140" w:right="56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Всероссийское общественное движение «Волонтеры-медики»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общероссийское волонтерское движение в сфере здравоохранения.</w:t>
      </w:r>
    </w:p>
    <w:p>
      <w:pPr>
        <w:pStyle w:val="Normal"/>
        <w:widowControl w:val="false"/>
        <w:spacing w:lineRule="auto" w:line="362" w:before="89" w:after="0"/>
        <w:ind w:firstLine="708" w:left="140" w:right="56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Всероссийское общественное движение «Волонтеры Победы»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общероссийское волонтерское движение в сфере патриотического воспитания.</w:t>
      </w:r>
    </w:p>
    <w:p>
      <w:pPr>
        <w:pStyle w:val="Normal"/>
        <w:widowControl w:val="false"/>
        <w:spacing w:lineRule="auto" w:line="360" w:before="0" w:after="0"/>
        <w:ind w:firstLine="708" w:left="140" w:right="56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Региональные ресурсные центры поддержки волонтерства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центры развития волонтерского движения, созданные в регионах России с целью консолидации добровольческих усилий, популяризации и продвижения ценностей добровольческой деятельности, формирования благоприятных условий для ее осуществления на территории соответствующих субъектов Российской Федерации.</w:t>
      </w:r>
    </w:p>
    <w:p>
      <w:pPr>
        <w:pStyle w:val="Normal"/>
        <w:widowControl w:val="false"/>
        <w:spacing w:lineRule="auto" w:line="360" w:before="0" w:after="0"/>
        <w:ind w:firstLine="708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Федеральное агентство по делам молодежи (Росмолодежь)</w:t>
      </w:r>
      <w:r>
        <w:rPr>
          <w:rFonts w:eastAsia="Times New Roman" w:cs="Times New Roman" w:ascii="Times New Roman" w:hAnsi="Times New Roman"/>
          <w:sz w:val="24"/>
          <w:szCs w:val="24"/>
        </w:rPr>
        <w:t>–федеральный орган государственной власти, уполномоченный в сфере развития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волонтерства.</w:t>
      </w:r>
    </w:p>
    <w:p>
      <w:pPr>
        <w:pStyle w:val="Normal"/>
        <w:widowControl w:val="false"/>
        <w:spacing w:lineRule="auto" w:line="360" w:before="0" w:after="0"/>
        <w:ind w:firstLine="708" w:left="140" w:right="56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Федеральное государственное бюджетное учреждение «Российский центр гражданского и патриотического воспитания детей и молодежи» (Роспатриотцентр)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главный исполнитель государственных программ в сфере развития волонтерского движения как одной из основ формирования гражданского общества.</w:t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Федеральное государственное бюджетное учреждение «Российский детско-юношеский центр» (Росдетцентр)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главный исполнитель государственных программ в сфере развития детского добровольчества.</w:t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both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Общероссийское общественно-государственное движение детей и молодежи «Движение Первых».</w:t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Приложение 3</w:t>
      </w:r>
    </w:p>
    <w:p>
      <w:pPr>
        <w:pStyle w:val="Normal"/>
        <w:widowControl w:val="false"/>
        <w:spacing w:lineRule="auto" w:line="360" w:before="0" w:after="0"/>
        <w:ind w:firstLine="708" w:left="140" w:right="567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Из истории волонтерства в России:</w:t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 России при императрице Екатерине II в конце XVIII века была создана сеть воспитательных домов для детей-сирот и незаконнорожденных младенцев, в которых работали добровольцы. В XIX веке получили развитие различные благотворительные общества и союзы, общественные филантропические организации. Одним из крупнейших было Императорское человеколюбивое общество, образованное в 1802 году по инициативе Александра I. В учрежденных земствами народных начальных школах учителя преподавали на безвозмездной основе, в сельских больницах земские врачи оказывали бесплатную медицинскую помощь. Первыми в мире женщинами-волонтерами (сестрамимилосердия)были монахини московской Свято-Никольской обители. Во время Русско-турецкой войны 1877–1878 годов они добровольно отправились на фронт для помощи раненым солдатам. В 1894 году в Москве были учреждены городские участковые попечительства о бедных, для сбора добровольных пожертвований в них привлекались волонтеры. В начале XX века в России действовало уже около 20 тысяч попечительских советов для бедных, в которых трудились волонтеры.</w:t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 СССР добровольческое движение было связано с крупными всесоюзными мероприятиями, массовыми субботниками и пр. Широкое распространение получило добровольческое по сути тимуровское движение. В годы Великой Отечественной войны 1941–1945 гг. тимуровские команды и отряды действовали в школах, детских домах, при дворцах и домах пионеров и других внешкольных учреждениях, по месту жительства; только в РСФСР насчитывалось свыше 2 миллионов тимуровцев.  Они шефствовали надгоспиталями, семьями солдат и офицеров Советской Армии, детскими домами и садами, помогали собирать урожай, работали в фонде обороны. В послевоенный период они оказывали помощь инвалидам и ветеранам войны и труда, престарелым, ухаживали за могилами погибших воинов. В советские времена добровольцы ехали на целину и БАМ, работали на субботниках, уборках урожая, занимались восстановлением и сохранением памятников истории и культуры.</w:t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Современное понятие волонтерства в России начало формироваться в 90- е годы, одновременно с зарождением различных некоммерческих, общественных и благотворительных организаций. Переломными в развитии российского добровольчества стали 2010-е годы. В указанный период значительно увеличился перечень направлений добровольческой деятельности, появились новые формы добровольческих практик. Преимущественно социальный и социально направленный характер волонтерства, свойственный для 1990-х и 2000-х гг., трансформировался в сторону развития спектра приложения добровольческих усилий.</w:t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Особую роль в становлении современного добровольческого движения сыграли волонтерские программы ХХII Олимпийских и XI Паралимпийских зимних игр 2014 года в г. Сочи и XXVII Всемирных летних студенческих Игр (Универсиады) 2013 года в Казани, переломившие общественное мнение и обеспечившие волонтерству узнаваемость и характеристику социально одобряемого вида деятельности.</w:t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Добровольческое движение в России сегодня переживает новый подъем. Все больше людей понимают необходимость личного участия в решении проблем, стоящих перед обществом и государством, и готовы безвозмездно посвятить этому свое время, использовать свои опыт и знания. Свое участие в добровольческой (волонтерской) деятельности в настоящее время подтверждают 15 процентов опрошенных взрослых российских граждан. В то же время, по данным социологических опросов, свою готовность работать на добровольной основе декларировали 50 процентов опрошенных.</w:t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Приложение 4</w:t>
      </w:r>
    </w:p>
    <w:p>
      <w:pPr>
        <w:pStyle w:val="Normal"/>
        <w:widowControl w:val="false"/>
        <w:spacing w:lineRule="auto" w:line="360" w:before="155" w:after="0"/>
        <w:ind w:firstLine="708" w:left="140" w:right="562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Направления и формы благотворительной деятельности</w:t>
      </w:r>
    </w:p>
    <w:p>
      <w:pPr>
        <w:pStyle w:val="Normal"/>
        <w:widowControl w:val="false"/>
        <w:spacing w:lineRule="auto" w:line="240" w:before="158" w:after="0"/>
        <w:ind w:left="84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Основными направлениями благотворительной деятельности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выступают: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8" w:before="162" w:after="0"/>
        <w:ind w:firstLine="708" w:left="140" w:right="56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социальная поддержка и защита граждан, включая улучшение материального положения малообеспеченных, многодетных семей, оказание помощи социально незащищенным, социально уязвимым слоям населения и (или) лицам, находящимся в трудной жизненной ситуации;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  <w:tab w:val="left" w:pos="1723" w:leader="none"/>
          <w:tab w:val="left" w:pos="4395" w:leader="none"/>
          <w:tab w:val="left" w:pos="6550" w:leader="none"/>
          <w:tab w:val="left" w:pos="8793" w:leader="none"/>
        </w:tabs>
        <w:spacing w:lineRule="auto" w:line="358" w:before="2" w:after="0"/>
        <w:ind w:firstLine="708" w:left="140" w:right="56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социальная реабилитация безработных, детей-сирот, детей, оставшихся без попечения родителей, безнадзорных детей, людей с ограниченными возможностями здоровья, людей с наркотической и алкогольной зависимостью, лиц, освобожденных из мест лишения свободы, и 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>иных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нуждающихся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категорий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населения, которые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 силу своих физических или интеллектуальных особенностей, иных обстоятельств не способны самостоятельно реализовать свои права и законные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интересы;</w:t>
      </w:r>
    </w:p>
    <w:p>
      <w:pPr>
        <w:pStyle w:val="ListParagraph"/>
        <w:widowControl w:val="false"/>
        <w:numPr>
          <w:ilvl w:val="0"/>
          <w:numId w:val="13"/>
        </w:numPr>
        <w:tabs>
          <w:tab w:val="clear" w:pos="708"/>
          <w:tab w:val="left" w:pos="1272" w:leader="none"/>
        </w:tabs>
        <w:spacing w:lineRule="auto" w:line="350" w:before="14" w:after="0"/>
        <w:ind w:hanging="360" w:left="720" w:right="572"/>
        <w:contextualSpacing/>
        <w:jc w:val="both"/>
        <w:rPr/>
      </w:pPr>
      <w:r>
        <w:rPr/>
        <w:t>оказание помощи людям с инвалидностью, тяжелобольным лицам и лицам со стойкими нарушениями здоровья;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оказание помощи пострадавшим в результате стихийных бедствий, экологических,промышленныхилииныхкатастроф,социальных,национальных, религиозных конфликтов, жертвам репрессий, беженцам и вынужденным переселенцам;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охрана окружающей среды и защита животных;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охрана и  обеспечение должного содержания  зданий,  объектов и территорий, имеющих историческое, культовое, культурное или природоохранное значение;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поддержка семьи, материнства и детства;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деятельность по профилактике безнадзорности и правонарушений несовершеннолетних, социального сиротства;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профилактика социально опасных форм поведения граждан. Можно выделить следующие формы благотворительного участия. Финансовые формы благотворительного участия: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перечисление денег на счет благополучателя в</w:t>
        <w:tab/>
        <w:t>виде разового благотворительного взноса;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регулярные денежные перечисления (ежемесячные, ежеквартальные и т.д.);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взносы в виде ежемесячных отчислений со счета в банке;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сбор денежных средств среди сотрудников организации;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льготы и скидки на товары и услуги для благополучателей;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включение в цену товара доли на благотворительные цели;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оплата текущих расходов благополучателя или благотворительной организации;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завещание личных денежных средств;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финансирование благотворительных программ «под ключ» и пр. </w:t>
      </w:r>
    </w:p>
    <w:p>
      <w:pPr>
        <w:pStyle w:val="Normal"/>
        <w:widowControl w:val="false"/>
        <w:tabs>
          <w:tab w:val="clear" w:pos="708"/>
          <w:tab w:val="left" w:pos="1272" w:leader="none"/>
        </w:tabs>
        <w:spacing w:lineRule="auto" w:line="350" w:before="15" w:after="0"/>
        <w:ind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1272" w:leader="none"/>
        </w:tabs>
        <w:spacing w:lineRule="auto" w:line="350" w:before="15" w:after="0"/>
        <w:ind w:left="140" w:right="563"/>
        <w:jc w:val="both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Материально-технические (вещные) формы благотворительного участия: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передача в собственность (в том числе списанного) имущества: мебель, транспорт, оргтехника и пр.;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передача продуктов питания, товаров, расходных материалов;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предоставление в пользование помещений, оборудования, техники, транспорта;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предоставление предметов для последующей продажи с целью выручки средств;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организация сбора вещей среди сотрудников организации;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завещание личного имущества и пр. </w:t>
      </w:r>
    </w:p>
    <w:p>
      <w:pPr>
        <w:pStyle w:val="Normal"/>
        <w:widowControl w:val="false"/>
        <w:tabs>
          <w:tab w:val="clear" w:pos="708"/>
          <w:tab w:val="left" w:pos="1272" w:leader="none"/>
        </w:tabs>
        <w:spacing w:lineRule="auto" w:line="350" w:before="15" w:after="0"/>
        <w:ind w:left="140" w:right="563"/>
        <w:jc w:val="both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>Трудовые формы благотворительного участия: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выполнение работ силами работников организации-благотворителя;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консультационная</w:t>
        <w:tab/>
        <w:t>профессиональная поддержка (юридическая, бухгалтерская, организационная и пр.);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разработка рекламных кампаний;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добровольческий труд в благотворительных организациях и благотворительных программах и пр. Информационные формы благотворительного участия: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предоставление писем поддержки, рекомендательных, гарантийных писем и прочих форм ходатайств;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информационная поддержка в средствах массовой информации, социальных сетях;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общественная (публичная) поддержка, продвижение и пр.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1272" w:leader="none"/>
        </w:tabs>
        <w:spacing w:lineRule="auto" w:line="350" w:before="15" w:after="0"/>
        <w:ind w:hanging="425" w:left="140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Методы привлечения благотворительной помощи.</w:t>
      </w:r>
    </w:p>
    <w:p>
      <w:pPr>
        <w:pStyle w:val="Normal"/>
        <w:widowControl w:val="false"/>
        <w:tabs>
          <w:tab w:val="clear" w:pos="708"/>
          <w:tab w:val="left" w:pos="1272" w:leader="none"/>
        </w:tabs>
        <w:spacing w:lineRule="auto" w:line="350" w:before="15" w:after="0"/>
        <w:ind w:left="-285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1272" w:leader="none"/>
        </w:tabs>
        <w:spacing w:lineRule="auto" w:line="350" w:before="15" w:after="0"/>
        <w:ind w:left="-285" w:right="56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Ниже представлены некоторые формы активностей, которые используют благотворительные организации в работе по привлечению благотворительных средств.</w:t>
      </w:r>
    </w:p>
    <w:p>
      <w:pPr>
        <w:pStyle w:val="ListParagraph"/>
        <w:widowControl w:val="false"/>
        <w:numPr>
          <w:ilvl w:val="0"/>
          <w:numId w:val="13"/>
        </w:numPr>
        <w:tabs>
          <w:tab w:val="clear" w:pos="708"/>
          <w:tab w:val="left" w:pos="1272" w:leader="none"/>
        </w:tabs>
        <w:spacing w:lineRule="auto" w:line="350" w:before="15" w:after="0"/>
        <w:ind w:hanging="567" w:left="567" w:right="563"/>
        <w:contextualSpacing/>
        <w:jc w:val="both"/>
        <w:rPr/>
      </w:pPr>
      <w:r>
        <w:rPr/>
        <w:t>Аукционы. Могут проводиться как с предметами, которые производит сама некоммерческая организация (например, предметы искусства, изделия народных промыслов), а также с предметами благотворителя, который выставляет свой лот на торги с благотворительной целью (чтобы процент от выручки с торгов адресовать конкретной благотворительной организации, человеку или проекту). Личное общение с благотворителем. Метод предполагает личный контакт благополучателя с благотворителем.</w:t>
      </w:r>
    </w:p>
    <w:p>
      <w:pPr>
        <w:pStyle w:val="ListParagraph"/>
        <w:widowControl w:val="false"/>
        <w:numPr>
          <w:ilvl w:val="0"/>
          <w:numId w:val="13"/>
        </w:numPr>
        <w:tabs>
          <w:tab w:val="clear" w:pos="708"/>
          <w:tab w:val="left" w:pos="1272" w:leader="none"/>
        </w:tabs>
        <w:spacing w:lineRule="auto" w:line="350" w:before="15" w:after="0"/>
        <w:ind w:hanging="567" w:left="567" w:right="563"/>
        <w:contextualSpacing/>
        <w:jc w:val="both"/>
        <w:rPr/>
      </w:pPr>
      <w:r>
        <w:rPr/>
        <w:t>Лотереи. Организация и проведение различного рода благотворительных лотерей (лотереи только для членов организации; лотереи, приуроченные к проведению конкретного мероприятия, общественные лотереи).</w:t>
      </w:r>
    </w:p>
    <w:p>
      <w:pPr>
        <w:pStyle w:val="ListParagraph"/>
        <w:widowControl w:val="false"/>
        <w:numPr>
          <w:ilvl w:val="0"/>
          <w:numId w:val="13"/>
        </w:numPr>
        <w:tabs>
          <w:tab w:val="clear" w:pos="708"/>
          <w:tab w:val="left" w:pos="1272" w:leader="none"/>
        </w:tabs>
        <w:spacing w:lineRule="auto" w:line="350" w:before="15" w:after="0"/>
        <w:ind w:hanging="567" w:left="567" w:right="563"/>
        <w:contextualSpacing/>
        <w:jc w:val="both"/>
        <w:rPr/>
      </w:pPr>
      <w:r>
        <w:rPr/>
        <w:t>Проведение благотворительных мероприятий и акций (концерты, фестивали, марафоны, шоу, общественные праздники, благотворительные балы, спортивные состязания, ярмарки и пр.). Это организация и проведение различного рода публичных развлекательных мероприятий, плата за вход на которые является благотворительным взносом.</w:t>
      </w:r>
    </w:p>
    <w:p>
      <w:pPr>
        <w:pStyle w:val="ListParagraph"/>
        <w:widowControl w:val="false"/>
        <w:numPr>
          <w:ilvl w:val="0"/>
          <w:numId w:val="13"/>
        </w:numPr>
        <w:tabs>
          <w:tab w:val="clear" w:pos="708"/>
          <w:tab w:val="left" w:pos="1272" w:leader="none"/>
        </w:tabs>
        <w:spacing w:lineRule="auto" w:line="350" w:before="15" w:after="0"/>
        <w:ind w:hanging="567" w:left="567" w:right="563"/>
        <w:contextualSpacing/>
        <w:jc w:val="both"/>
        <w:rPr/>
      </w:pPr>
      <w:r>
        <w:rPr/>
        <w:t>Продажа сувениров (открытки, плакаты, значки, марки, кружки, кепки, майки и пр.). Эффективный метод, но осложнен необходимостью вкладывать средства в производство самих сувениров. Возможно привлечение спонсоров.</w:t>
      </w:r>
    </w:p>
    <w:p>
      <w:pPr>
        <w:pStyle w:val="ListParagraph"/>
        <w:widowControl w:val="false"/>
        <w:numPr>
          <w:ilvl w:val="0"/>
          <w:numId w:val="13"/>
        </w:numPr>
        <w:tabs>
          <w:tab w:val="clear" w:pos="708"/>
          <w:tab w:val="left" w:pos="1272" w:leader="none"/>
        </w:tabs>
        <w:spacing w:lineRule="auto" w:line="350" w:before="15" w:after="0"/>
        <w:ind w:hanging="567" w:left="567" w:right="563"/>
        <w:contextualSpacing/>
        <w:jc w:val="both"/>
        <w:rPr/>
      </w:pPr>
      <w:r>
        <w:rPr/>
        <w:t>Почтовая рассылка. Рассылка писем с просьбой о благотворительности осуществляется с целью привлечения новых благотворителей и сохранения прежних. Письма могут содержать в себе как информацию о деятельности организации в целом, так и приложенную к письму заполненную банковскую квитанцию для максимально удобного способа осуществления пожертвования.</w:t>
      </w:r>
    </w:p>
    <w:p>
      <w:pPr>
        <w:pStyle w:val="ListParagraph"/>
        <w:widowControl w:val="false"/>
        <w:numPr>
          <w:ilvl w:val="0"/>
          <w:numId w:val="13"/>
        </w:numPr>
        <w:tabs>
          <w:tab w:val="clear" w:pos="708"/>
          <w:tab w:val="left" w:pos="1272" w:leader="none"/>
        </w:tabs>
        <w:spacing w:lineRule="auto" w:line="350" w:before="15" w:after="0"/>
        <w:ind w:hanging="567" w:left="567" w:right="563"/>
        <w:contextualSpacing/>
        <w:jc w:val="both"/>
        <w:rPr/>
      </w:pPr>
      <w:r>
        <w:rPr/>
        <w:t>Социальная реклама. Важнейший метод в благотворительной деятельности. Основные задачи социальной рекламы – это обозначение существующей социальной проблемы, целевых групп, с которыми работает благотворительная организация; информирование о сути деятельности благотворительной организации, о возможностях участия граждан в решении проблем.</w:t>
      </w:r>
    </w:p>
    <w:p>
      <w:pPr>
        <w:pStyle w:val="ListParagraph"/>
        <w:widowControl w:val="false"/>
        <w:numPr>
          <w:ilvl w:val="0"/>
          <w:numId w:val="13"/>
        </w:numPr>
        <w:tabs>
          <w:tab w:val="clear" w:pos="708"/>
          <w:tab w:val="left" w:pos="1272" w:leader="none"/>
        </w:tabs>
        <w:spacing w:lineRule="auto" w:line="350" w:before="15" w:after="0"/>
        <w:ind w:hanging="567" w:left="567" w:right="563"/>
        <w:contextualSpacing/>
        <w:jc w:val="both"/>
        <w:rPr/>
      </w:pPr>
      <w:r>
        <w:rPr/>
        <w:t>Телефонный маркетинг (телемаркетинг). Метод предполагает использование телефона и телекоммуникационных технологий совместно с системами управления базами данных. Ящики для пожертвований. Традиционный метод сбора частных пожертвований. Опечатанные ящики располагают в людных местах. Например, в магазинах – месте, куда люди приходят тратить деньги, или в банке – месте, куда люди приходят с деньгами и пр. Ящики могут быть стационарными и передвижными, переносными (сбор пожертвований на улицах или от квартиры к квартире).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18" w:right="567" w:gutter="0" w:header="0" w:top="1134" w:footer="708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25864124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27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13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1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140" w:hanging="425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60" w:hanging="42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81" w:hanging="42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02" w:hanging="42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223" w:hanging="42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244" w:hanging="42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65" w:hanging="42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85" w:hanging="42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306" w:hanging="425"/>
      </w:pPr>
      <w:rPr>
        <w:rFonts w:ascii="Symbol" w:hAnsi="Symbol" w:cs="Symbol" w:hint="default"/>
        <w:lang w:val="ru-RU" w:eastAsia="en-US" w:bidi="ar-SA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"/>
      <w:lvlJc w:val="left"/>
      <w:pPr>
        <w:tabs>
          <w:tab w:val="num" w:pos="0"/>
        </w:tabs>
        <w:ind w:left="140" w:hanging="425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60" w:hanging="42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81" w:hanging="42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02" w:hanging="42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223" w:hanging="42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244" w:hanging="42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65" w:hanging="42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85" w:hanging="42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306" w:hanging="425"/>
      </w:pPr>
      <w:rPr>
        <w:rFonts w:ascii="Symbol" w:hAnsi="Symbol" w:cs="Symbol" w:hint="default"/>
        <w:lang w:val="ru-RU" w:eastAsia="en-US" w:bidi="ar-SA"/>
      </w:rPr>
    </w:lvl>
  </w:abstractNum>
  <w:abstractNum w:abstractNumId="1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sz w:val="28"/>
        <w:szCs w:val="28"/>
        <w:lang w:val="ru-RU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bullet"/>
      <w:lvlText w:val=""/>
      <w:lvlJc w:val="left"/>
      <w:pPr>
        <w:tabs>
          <w:tab w:val="num" w:pos="0"/>
        </w:tabs>
        <w:ind w:left="140" w:hanging="425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60" w:hanging="42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81" w:hanging="42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02" w:hanging="42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223" w:hanging="42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244" w:hanging="42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65" w:hanging="42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85" w:hanging="42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306" w:hanging="425"/>
      </w:pPr>
      <w:rPr>
        <w:rFonts w:ascii="Symbol" w:hAnsi="Symbol" w:cs="Symbol" w:hint="default"/>
        <w:lang w:val="ru-RU" w:eastAsia="en-US" w:bidi="ar-SA"/>
      </w:r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tabs>
        <w:tab w:val="clear" w:pos="708"/>
        <w:tab w:val="left" w:pos="0" w:leader="none"/>
      </w:tabs>
      <w:spacing w:lineRule="auto" w:line="240" w:before="0" w:after="0"/>
      <w:jc w:val="center"/>
      <w:outlineLvl w:val="0"/>
    </w:pPr>
    <w:rPr>
      <w:rFonts w:ascii="Times New Roman" w:hAnsi="Times New Roman" w:eastAsia="Times New Roman" w:cs="Times New Roman"/>
      <w:b/>
      <w:bCs/>
      <w:sz w:val="28"/>
      <w:szCs w:val="24"/>
      <w:lang w:eastAsia="zh-CN"/>
    </w:rPr>
  </w:style>
  <w:style w:type="paragraph" w:styleId="Heading2">
    <w:name w:val="heading 2"/>
    <w:basedOn w:val="Normal"/>
    <w:next w:val="Normal"/>
    <w:link w:val="21"/>
    <w:uiPriority w:val="9"/>
    <w:qFormat/>
    <w:pPr>
      <w:keepNext w:val="true"/>
      <w:spacing w:lineRule="auto" w:line="240" w:before="240" w:after="60"/>
      <w:outlineLvl w:val="1"/>
    </w:pPr>
    <w:rPr>
      <w:rFonts w:ascii="Arial" w:hAnsi="Arial" w:eastAsia="Times New Roman" w:cs="Times New Roman"/>
      <w:b/>
      <w:bCs/>
      <w:i/>
      <w:iCs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 w:val="true"/>
      <w:tabs>
        <w:tab w:val="clear" w:pos="708"/>
        <w:tab w:val="left" w:pos="2160" w:leader="none"/>
      </w:tabs>
      <w:spacing w:lineRule="auto" w:line="240" w:before="240" w:after="60"/>
      <w:ind w:hanging="720" w:left="2160"/>
      <w:outlineLvl w:val="2"/>
    </w:pPr>
    <w:rPr>
      <w:rFonts w:ascii="Cambria" w:hAnsi="Cambria" w:eastAsia="Times New Roman" w:cs="Times New Roman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 w:val="true"/>
      <w:tabs>
        <w:tab w:val="clear" w:pos="708"/>
        <w:tab w:val="left" w:pos="2880" w:leader="none"/>
      </w:tabs>
      <w:spacing w:lineRule="auto" w:line="240" w:before="240" w:after="60"/>
      <w:ind w:hanging="720" w:left="2880"/>
      <w:outlineLvl w:val="3"/>
    </w:pPr>
    <w:rPr>
      <w:rFonts w:ascii="Calibri" w:hAnsi="Calibri" w:eastAsia="Times New Roman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tabs>
        <w:tab w:val="clear" w:pos="708"/>
        <w:tab w:val="left" w:pos="3600" w:leader="none"/>
      </w:tabs>
      <w:spacing w:lineRule="auto" w:line="240" w:before="240" w:after="60"/>
      <w:ind w:hanging="720" w:left="3600"/>
      <w:outlineLvl w:val="4"/>
    </w:pPr>
    <w:rPr>
      <w:rFonts w:ascii="Calibri" w:hAnsi="Calibri" w:eastAsia="Times New Roman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6"/>
    <w:unhideWhenUsed/>
    <w:qFormat/>
    <w:pPr>
      <w:spacing w:lineRule="auto" w:line="240" w:before="240" w:after="60"/>
      <w:outlineLvl w:val="5"/>
    </w:pPr>
    <w:rPr>
      <w:rFonts w:ascii="Calibri" w:hAnsi="Calibri" w:eastAsia="Times New Roman" w:cs="Times New Roman"/>
      <w:b/>
      <w:bCs/>
      <w:lang w:eastAsia="zh-C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pPr>
      <w:tabs>
        <w:tab w:val="clear" w:pos="708"/>
        <w:tab w:val="left" w:pos="5040" w:leader="none"/>
      </w:tabs>
      <w:spacing w:lineRule="auto" w:line="240" w:before="240" w:after="60"/>
      <w:ind w:hanging="720" w:left="5040"/>
      <w:outlineLvl w:val="6"/>
    </w:pPr>
    <w:rPr>
      <w:rFonts w:ascii="Calibri" w:hAnsi="Calibri" w:eastAsia="Times New Roman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pPr>
      <w:tabs>
        <w:tab w:val="clear" w:pos="708"/>
        <w:tab w:val="left" w:pos="5760" w:leader="none"/>
      </w:tabs>
      <w:spacing w:lineRule="auto" w:line="240" w:before="240" w:after="60"/>
      <w:ind w:hanging="720" w:left="5760"/>
      <w:outlineLvl w:val="7"/>
    </w:pPr>
    <w:rPr>
      <w:rFonts w:ascii="Calibri" w:hAnsi="Calibri" w:eastAsia="Times New Roman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pPr>
      <w:tabs>
        <w:tab w:val="clear" w:pos="708"/>
        <w:tab w:val="left" w:pos="6480" w:leader="none"/>
      </w:tabs>
      <w:spacing w:lineRule="auto" w:line="240" w:before="240" w:after="60"/>
      <w:ind w:hanging="720" w:left="6480"/>
      <w:outlineLvl w:val="8"/>
    </w:pPr>
    <w:rPr>
      <w:rFonts w:ascii="Cambria" w:hAnsi="Cambria" w:eastAsia="Times New Roman" w:cs="Times New Roman"/>
      <w:lang w:val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Текст сноски Знак"/>
    <w:uiPriority w:val="99"/>
    <w:qFormat/>
    <w:rPr>
      <w:sz w:val="18"/>
    </w:rPr>
  </w:style>
  <w:style w:type="character" w:styleId="Style9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Текст концевой сноски Знак"/>
    <w:uiPriority w:val="99"/>
    <w:qFormat/>
    <w:rPr>
      <w:sz w:val="20"/>
    </w:rPr>
  </w:style>
  <w:style w:type="character" w:styleId="Style11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Pr>
      <w:rFonts w:ascii="Times New Roman" w:hAnsi="Times New Roman" w:eastAsia="Times New Roman" w:cs="Times New Roman"/>
      <w:b/>
      <w:bCs/>
      <w:sz w:val="28"/>
      <w:szCs w:val="24"/>
      <w:lang w:eastAsia="zh-CN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Times New Roman" w:cs="Times New Roman"/>
      <w:b/>
      <w:bCs/>
      <w:i/>
      <w:iCs/>
      <w:sz w:val="28"/>
      <w:szCs w:val="28"/>
      <w:lang w:eastAsia="zh-CN"/>
    </w:rPr>
  </w:style>
  <w:style w:type="character" w:styleId="3" w:customStyle="1">
    <w:name w:val="Заголовок 3 Знак"/>
    <w:basedOn w:val="DefaultParagraphFont"/>
    <w:uiPriority w:val="9"/>
    <w:semiHidden/>
    <w:qFormat/>
    <w:rPr>
      <w:rFonts w:ascii="Cambria" w:hAnsi="Cambria" w:eastAsia="Times New Roman" w:cs="Times New Roman"/>
      <w:b/>
      <w:bCs/>
      <w:sz w:val="26"/>
      <w:szCs w:val="26"/>
      <w:lang w:val="en-US"/>
    </w:rPr>
  </w:style>
  <w:style w:type="character" w:styleId="4" w:customStyle="1">
    <w:name w:val="Заголовок 4 Знак"/>
    <w:basedOn w:val="DefaultParagraphFont"/>
    <w:uiPriority w:val="9"/>
    <w:semiHidden/>
    <w:qFormat/>
    <w:rPr>
      <w:rFonts w:ascii="Calibri" w:hAnsi="Calibri" w:eastAsia="Times New Roman" w:cs="Times New Roman"/>
      <w:b/>
      <w:bCs/>
      <w:sz w:val="28"/>
      <w:szCs w:val="28"/>
      <w:lang w:val="en-US"/>
    </w:rPr>
  </w:style>
  <w:style w:type="character" w:styleId="5" w:customStyle="1">
    <w:name w:val="Заголовок 5 Знак"/>
    <w:basedOn w:val="DefaultParagraphFont"/>
    <w:uiPriority w:val="9"/>
    <w:semiHidden/>
    <w:qFormat/>
    <w:rPr>
      <w:rFonts w:ascii="Calibri" w:hAnsi="Calibri" w:eastAsia="Times New Roman" w:cs="Times New Roman"/>
      <w:b/>
      <w:bCs/>
      <w:i/>
      <w:iCs/>
      <w:sz w:val="26"/>
      <w:szCs w:val="26"/>
      <w:lang w:val="en-US"/>
    </w:rPr>
  </w:style>
  <w:style w:type="character" w:styleId="6" w:customStyle="1">
    <w:name w:val="Заголовок 6 Знак"/>
    <w:basedOn w:val="DefaultParagraphFont"/>
    <w:qFormat/>
    <w:rPr>
      <w:rFonts w:ascii="Calibri" w:hAnsi="Calibri" w:eastAsia="Times New Roman" w:cs="Times New Roman"/>
      <w:b/>
      <w:bCs/>
      <w:lang w:eastAsia="zh-CN"/>
    </w:rPr>
  </w:style>
  <w:style w:type="character" w:styleId="7" w:customStyle="1">
    <w:name w:val="Заголовок 7 Знак"/>
    <w:basedOn w:val="DefaultParagraphFont"/>
    <w:uiPriority w:val="9"/>
    <w:semiHidden/>
    <w:qFormat/>
    <w:rPr>
      <w:rFonts w:ascii="Calibri" w:hAnsi="Calibri" w:eastAsia="Times New Roman" w:cs="Times New Roman"/>
      <w:sz w:val="24"/>
      <w:szCs w:val="24"/>
      <w:lang w:val="en-US"/>
    </w:rPr>
  </w:style>
  <w:style w:type="character" w:styleId="8" w:customStyle="1">
    <w:name w:val="Заголовок 8 Знак"/>
    <w:basedOn w:val="DefaultParagraphFont"/>
    <w:uiPriority w:val="9"/>
    <w:semiHidden/>
    <w:qFormat/>
    <w:rPr>
      <w:rFonts w:ascii="Calibri" w:hAnsi="Calibri" w:eastAsia="Times New Roman" w:cs="Times New Roman"/>
      <w:i/>
      <w:iCs/>
      <w:sz w:val="24"/>
      <w:szCs w:val="24"/>
      <w:lang w:val="en-US"/>
    </w:rPr>
  </w:style>
  <w:style w:type="character" w:styleId="9" w:customStyle="1">
    <w:name w:val="Заголовок 9 Знак"/>
    <w:basedOn w:val="DefaultParagraphFont"/>
    <w:uiPriority w:val="9"/>
    <w:semiHidden/>
    <w:qFormat/>
    <w:rPr>
      <w:rFonts w:ascii="Cambria" w:hAnsi="Cambria" w:eastAsia="Times New Roman" w:cs="Times New Roman"/>
      <w:lang w:val="en-US"/>
    </w:rPr>
  </w:style>
  <w:style w:type="character" w:styleId="22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FontStyle14" w:customStyle="1">
    <w:name w:val="Font Style14"/>
    <w:qFormat/>
    <w:rPr>
      <w:rFonts w:ascii="Times New Roman" w:hAnsi="Times New Roman" w:cs="Times New Roman"/>
      <w:b/>
      <w:bCs/>
      <w:sz w:val="26"/>
      <w:szCs w:val="26"/>
    </w:rPr>
  </w:style>
  <w:style w:type="character" w:styleId="FontStyle19" w:customStyle="1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Style12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FontStyle29" w:customStyle="1">
    <w:name w:val="Font Style29"/>
    <w:qFormat/>
    <w:rPr>
      <w:rFonts w:ascii="Times New Roman" w:hAnsi="Times New Roman" w:cs="Times New Roman"/>
      <w:b/>
      <w:bCs/>
      <w:sz w:val="28"/>
      <w:szCs w:val="28"/>
    </w:rPr>
  </w:style>
  <w:style w:type="character" w:styleId="Hyperlink">
    <w:name w:val="Hyperlink"/>
    <w:rPr>
      <w:color w:val="0000FF"/>
      <w:u w:val="single"/>
    </w:rPr>
  </w:style>
  <w:style w:type="character" w:styleId="Style13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Pr/>
  </w:style>
  <w:style w:type="character" w:styleId="c1" w:customStyle="1">
    <w:name w:val="c1"/>
    <w:basedOn w:val="DefaultParagraphFont"/>
    <w:qFormat/>
    <w:rPr/>
  </w:style>
  <w:style w:type="character" w:styleId="c0" w:customStyle="1">
    <w:name w:val="c0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Style15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Style16" w:customStyle="1">
    <w:name w:val="Неразрешенное упоминание"/>
    <w:uiPriority w:val="99"/>
    <w:semiHidden/>
    <w:unhideWhenUsed/>
    <w:qFormat/>
    <w:rPr>
      <w:color w:val="605E5C"/>
      <w:shd w:fill="E1DFDD" w:val="clear"/>
    </w:rPr>
  </w:style>
  <w:style w:type="character" w:styleId="Style17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5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5B9BD5"/>
      <w:sz w:val="18"/>
      <w:szCs w:val="18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link w:val="Style8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Style10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8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="0"/>
    </w:pPr>
    <w:rPr/>
  </w:style>
  <w:style w:type="paragraph" w:styleId="Default" w:customStyle="1">
    <w:name w:val="Default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zh-CN" w:val="ru-RU" w:bidi="ar-SA"/>
    </w:rPr>
  </w:style>
  <w:style w:type="paragraph" w:styleId="ListParagraph">
    <w:name w:val="List Paragraph"/>
    <w:basedOn w:val="Normal"/>
    <w:uiPriority w:val="1"/>
    <w:qFormat/>
    <w:pPr>
      <w:spacing w:lineRule="auto" w:line="240" w:before="0" w:after="0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NormalWeb">
    <w:name w:val="Normal (Web)"/>
    <w:basedOn w:val="Normal"/>
    <w:uiPriority w:val="99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2"/>
    <w:qFormat/>
    <w:pPr>
      <w:spacing w:lineRule="auto" w:line="240" w:before="0" w:after="0"/>
      <w:ind w:firstLine="543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61" w:customStyle="1">
    <w:name w:val="Style6"/>
    <w:basedOn w:val="Normal"/>
    <w:qFormat/>
    <w:pPr>
      <w:widowControl w:val="false"/>
      <w:spacing w:lineRule="auto" w:line="240" w:before="0" w:after="0"/>
    </w:pPr>
    <w:rPr>
      <w:rFonts w:ascii="Calibri" w:hAnsi="Calibri" w:eastAsia="Times New Roman" w:cs="Times New Roman"/>
      <w:sz w:val="24"/>
      <w:szCs w:val="24"/>
      <w:lang w:eastAsia="ru-RU"/>
    </w:rPr>
  </w:style>
  <w:style w:type="paragraph" w:styleId="Style81" w:customStyle="1">
    <w:name w:val="Style8"/>
    <w:basedOn w:val="Normal"/>
    <w:qFormat/>
    <w:pPr>
      <w:widowControl w:val="false"/>
      <w:spacing w:lineRule="auto" w:line="240" w:before="0" w:after="0"/>
    </w:pPr>
    <w:rPr>
      <w:rFonts w:ascii="Calibri" w:hAnsi="Calibri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2"/>
    <w:pPr>
      <w:spacing w:lineRule="auto" w:line="240" w:before="0" w:after="120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61" w:customStyle="1">
    <w:name w:val="Style16"/>
    <w:basedOn w:val="Normal"/>
    <w:qFormat/>
    <w:pPr>
      <w:widowControl w:val="false"/>
      <w:spacing w:lineRule="auto" w:line="240" w:before="0" w:after="0"/>
    </w:pPr>
    <w:rPr>
      <w:rFonts w:ascii="Calibri" w:hAnsi="Calibri" w:eastAsia="Times New Roman" w:cs="Times New Roman"/>
      <w:sz w:val="24"/>
      <w:szCs w:val="24"/>
      <w:lang w:eastAsia="ru-RU"/>
    </w:rPr>
  </w:style>
  <w:style w:type="paragraph" w:styleId="Style20">
    <w:name w:val="Колонтитулы"/>
    <w:basedOn w:val="Normal"/>
    <w:qFormat/>
    <w:pPr/>
    <w:rPr/>
  </w:style>
  <w:style w:type="paragraph" w:styleId="Header">
    <w:name w:val="header"/>
    <w:basedOn w:val="Normal"/>
    <w:link w:val="Style1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Style14"/>
    <w:uiPriority w:val="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4" w:customStyle="1">
    <w:name w:val="c4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6" w:customStyle="1">
    <w:name w:val="c6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1" w:customStyle="1">
    <w:name w:val="Основной текст 31"/>
    <w:basedOn w:val="Normal"/>
    <w:qFormat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7"/>
    <w:uiPriority w:val="99"/>
    <w:semiHidden/>
    <w:unhideWhenUsed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Style21" w:default="1">
    <w:name w:val="Без списка"/>
    <w:uiPriority w:val="99"/>
    <w:semiHidden/>
    <w:unhideWhenUsed/>
    <w:qFormat/>
  </w:style>
  <w:style w:type="numbering" w:styleId="11" w:customStyle="1">
    <w:name w:val="Нет списка1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EC4E6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1ACDC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color="68A2D8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color="ACCCEA" w:themeColor="accent1" w:sz="12" w:space="0"/>
        </w:tcBorders>
      </w:tcPr>
    </w:tblStylePr>
    <w:tblStylePr w:type="lastRow">
      <w:rPr>
        <w:b/>
        <w:color w:val="acccea" w:themeColor="accent1" w:themeTint="80" w:themeShade="95"/>
      </w:rPr>
      <w:tblPr/>
    </w:tblStylePr>
    <w:tblStylePr w:type="firstCol">
      <w:rPr>
        <w:b/>
        <w:color w:val="acccea" w:themeColor="accent1" w:themeTint="80" w:themeShade="95"/>
      </w:rPr>
      <w:tblPr/>
    </w:tblStylePr>
    <w:tblStylePr w:type="lastCol">
      <w:rPr>
        <w:b/>
        <w:color w:val="acccea" w:themeColor="accent1" w:themeTint="80" w:themeShade="95"/>
      </w:rPr>
      <w:tblPr/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val="f4b184" w:themeColor="accent2" w:themeTint="97" w:themeShade="95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a5a5a5" w:themeColor="accent3" w:themeTint="fe" w:themeShade="95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lastCol">
      <w:rPr>
        <w:b/>
        <w:color w:val="a5a5a5"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val="ffd865" w:themeColor="accent4" w:themeTint="9a" w:themeShade="95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5" w:themeColor="accent5" w:themeShade="95"/>
      </w:rPr>
      <w:tblPr/>
    </w:tblStylePr>
    <w:tblStylePr w:type="firstCol">
      <w:rPr>
        <w:b/>
        <w:color w:val="254175" w:themeColor="accent5" w:themeShade="95"/>
      </w:rPr>
      <w:tblPr/>
    </w:tblStylePr>
    <w:tblStylePr w:type="lastCol">
      <w:rPr>
        <w:b/>
        <w:color w:val="254175" w:themeColor="accent5" w:themeShade="95"/>
      </w:rPr>
      <w:tblPr/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5" w:themeColor="accent5" w:themeShade="95"/>
      </w:rPr>
      <w:tblPr/>
    </w:tblStylePr>
    <w:tblStylePr w:type="firstCol">
      <w:rPr>
        <w:b/>
        <w:color w:val="254175" w:themeColor="accent5" w:themeShade="95"/>
      </w:rPr>
      <w:tblPr/>
    </w:tblStylePr>
    <w:tblStylePr w:type="lastCol">
      <w:rPr>
        <w:b/>
        <w:color w:val="254175"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  <w:tblPr/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CCCEA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color="ACCCEA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CCCEA" w:themeColor="accent1" w:sz="4" w:space="0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color="auto" w:sz="0" w:space="0"/>
          <w:left w:val="single" w:color="ACCCEA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4B184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single" w:color="F4B184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5A5A5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auto" w:sz="0" w:space="0"/>
          <w:left w:val="single" w:color="A5A5A5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D865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single" w:color="FFD865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5AFDD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color="95AFDD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5AFDD" w:themeColor="accent5" w:sz="4" w:space="0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color="auto" w:sz="0" w:space="0"/>
          <w:left w:val="single" w:color="95AFDD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DD394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ADD394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auto" w:sz="0" w:space="0"/>
          <w:left w:val="single" w:color="ADD394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8DA9DB" w:themeColor="accent5" w:sz="32" w:space="0"/>
          <w:bottom w:val="single" w:color="FFFFFF" w:themeColor="light1" w:sz="12" w:space="0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a8d" w:themeColor="accent1" w:themeShade="95"/>
      </w:rPr>
      <w:tblPr/>
    </w:tblStylePr>
    <w:tblStylePr w:type="lastCol">
      <w:rPr>
        <w:b/>
        <w:color w:val="245a8d" w:themeColor="accent1" w:themeShade="95"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val="c9c9c9" w:themeColor="accent3" w:themeTint="98" w:themeShade="95"/>
      </w:rPr>
      <w:tblPr/>
    </w:tblStylePr>
    <w:tblStylePr w:type="lastCol">
      <w:rPr>
        <w:b/>
        <w:color w:val="c9c9c9"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color="8DA9DB" w:themeColor="accent5" w:sz="4" w:space="0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color="8DA9DB" w:themeColor="accent5" w:sz="4" w:space="0"/>
        </w:tcBorders>
      </w:tcPr>
    </w:tblStylePr>
    <w:tblStylePr w:type="firstCol">
      <w:rPr>
        <w:b/>
        <w:color w:val="8da9db" w:themeColor="accent5" w:themeTint="9a" w:themeShade="95"/>
      </w:rPr>
      <w:tblPr/>
    </w:tblStylePr>
    <w:tblStylePr w:type="lastCol">
      <w:rPr>
        <w:b/>
        <w:color w:val="8da9db" w:themeColor="accent5" w:themeTint="9a" w:themeShade="95"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val="a9d08e" w:themeColor="accent6" w:themeTint="98" w:themeShade="95"/>
      </w:rPr>
      <w:tblPr/>
    </w:tblStylePr>
    <w:tblStylePr w:type="lastCol">
      <w:rPr>
        <w:b/>
        <w:color w:val="a9d08e"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5B9BD5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color="5B9BD5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color="auto" w:sz="0" w:space="0"/>
          <w:left w:val="single" w:color="5B9BD5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4B184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single" w:color="F4B184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9C9C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auto" w:sz="0" w:space="0"/>
          <w:left w:val="single" w:color="C9C9C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D865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single" w:color="FFD865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DA9DB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color="8DA9DB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DA9DB" w:themeColor="accent5" w:sz="4" w:space="0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color="auto" w:sz="0" w:space="0"/>
          <w:left w:val="single" w:color="8DA9DB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9D08E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auto" w:sz="0" w:space="0"/>
          <w:left w:val="single" w:color="A9D08E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8DA9DB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8DA9DB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8DA9DB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af9">
    <w:name w:val="Table Grid"/>
    <w:basedOn w:val="a1"/>
    <w:pPr>
      <w:spacing w:after="0" w:line="240" w:lineRule="auto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ass.ru/info/5870697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LibreOffice/26.2.5.2$Windows_X86_64 LibreOffice_project/cd7284b4cbbfeb507e630c1aac019f4157393acb</Application>
  <AppVersion>15.0000</AppVersion>
  <Pages>27</Pages>
  <Words>6227</Words>
  <Characters>49186</Characters>
  <CharactersWithSpaces>54976</CharactersWithSpaces>
  <Paragraphs>486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2025-08-07T06:45:00Z</dcterms:created>
  <dc:creator>Личный</dc:creator>
  <dc:description/>
  <dc:language>ru-RU</dc:language>
  <cp:lastModifiedBy/>
  <cp:lastPrinted>2026-09-11T17:07:23Z</cp:lastPrinted>
  <dcterms:modified xsi:type="dcterms:W3CDTF">2026-09-11T17:10:49Z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